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topLinePunct w:val="0"/>
        <w:autoSpaceDE/>
        <w:autoSpaceDN/>
        <w:bidi w:val="0"/>
        <w:adjustRightInd/>
        <w:snapToGrid/>
        <w:spacing w:line="700" w:lineRule="exact"/>
        <w:jc w:val="both"/>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附件</w:t>
      </w:r>
    </w:p>
    <w:p>
      <w:pPr>
        <w:keepNext w:val="0"/>
        <w:keepLines w:val="0"/>
        <w:pageBreakBefore w:val="0"/>
        <w:widowControl w:val="0"/>
        <w:suppressAutoHyphens/>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Cs/>
          <w:sz w:val="44"/>
          <w:szCs w:val="44"/>
          <w:lang w:val="en-US" w:eastAsia="zh-CN"/>
        </w:rPr>
      </w:pPr>
      <w:bookmarkStart w:id="2" w:name="_GoBack"/>
      <w:r>
        <w:rPr>
          <w:rFonts w:hint="eastAsia" w:ascii="方正小标宋简体" w:hAnsi="方正小标宋简体" w:eastAsia="方正小标宋简体" w:cs="方正小标宋简体"/>
          <w:bCs/>
          <w:sz w:val="44"/>
          <w:szCs w:val="44"/>
          <w:lang w:val="en-US" w:eastAsia="zh-CN"/>
        </w:rPr>
        <w:t>包头市工业企业和工业园区亩均综合</w:t>
      </w:r>
    </w:p>
    <w:p>
      <w:pPr>
        <w:keepNext w:val="0"/>
        <w:keepLines w:val="0"/>
        <w:pageBreakBefore w:val="0"/>
        <w:widowControl w:val="0"/>
        <w:suppressAutoHyphens/>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效益考核评价办法（暂行）</w:t>
      </w:r>
    </w:p>
    <w:bookmarkEnd w:id="2"/>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left"/>
        <w:textAlignment w:val="auto"/>
        <w:rPr>
          <w:rFonts w:hint="eastAsia" w:ascii="方正小标宋简体" w:hAnsi="Times New Roman" w:eastAsia="方正小标宋简体" w:cs="Times New Roman"/>
          <w:bCs/>
          <w:color w:val="auto"/>
          <w:kern w:val="2"/>
          <w:sz w:val="32"/>
          <w:szCs w:val="32"/>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76" w:afterLines="30" w:afterAutospacing="0" w:line="240" w:lineRule="auto"/>
        <w:ind w:right="0"/>
        <w:jc w:val="center"/>
        <w:textAlignment w:val="auto"/>
        <w:rPr>
          <w:rFonts w:hint="default"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sz w:val="32"/>
          <w:lang w:eastAsia="zh-CN"/>
        </w:rPr>
      </w:pPr>
      <w:r>
        <w:rPr>
          <w:rFonts w:hint="eastAsia" w:ascii="黑体" w:hAnsi="黑体" w:eastAsia="黑体" w:cs="黑体"/>
          <w:b w:val="0"/>
          <w:bCs w:val="0"/>
          <w:color w:val="auto"/>
          <w:kern w:val="2"/>
          <w:sz w:val="32"/>
          <w:szCs w:val="32"/>
          <w:lang w:val="en-US" w:eastAsia="zh-CN" w:bidi="ar-SA"/>
        </w:rPr>
        <w:t>第一条</w:t>
      </w:r>
      <w:r>
        <w:rPr>
          <w:rFonts w:hint="eastAsia" w:ascii="仿宋" w:hAnsi="仿宋" w:eastAsia="仿宋" w:cs="仿宋"/>
          <w:color w:val="000000"/>
          <w:kern w:val="2"/>
          <w:sz w:val="32"/>
          <w:szCs w:val="32"/>
          <w:lang w:val="en-US" w:eastAsia="zh-CN" w:bidi="ar-SA"/>
        </w:rPr>
        <w:t xml:space="preserve">  为进一步优化资源要素配置，不断提高单位土地面积产出效益和全要素生产率，推动新旧动能转换和经济高质量发展，根据《内蒙古自治区党委 自治区人民政府印发&lt;关于深入贯彻习近平生态文明思想推进全社会资源全面节约集约的指导意见&gt;的通知》（内党发〔2022〕16号）、《内蒙古自治区党委 自治区人民政府关于推动产业优化升级促进经济高质量发展的实施意见》（内党发〔2022〕17号）精神，参考《内蒙古自治区工业园区发展水平考核评价办法（征求意见稿）》，结合我市工业发展实际，</w:t>
      </w:r>
      <w:r>
        <w:rPr>
          <w:rFonts w:hint="eastAsia" w:ascii="仿宋" w:hAnsi="仿宋" w:eastAsia="仿宋"/>
          <w:sz w:val="32"/>
          <w:szCs w:val="32"/>
          <w:lang w:eastAsia="zh-CN"/>
        </w:rPr>
        <w:t>特制定本</w:t>
      </w:r>
      <w:r>
        <w:rPr>
          <w:rFonts w:hint="eastAsia" w:ascii="仿宋_GB2312" w:hAnsi="宋体" w:eastAsia="仿宋_GB2312"/>
          <w:sz w:val="32"/>
          <w:lang w:eastAsia="zh-CN"/>
        </w:rPr>
        <w:t>办法。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 w:hAnsi="仿宋" w:eastAsia="仿宋" w:cs="仿宋"/>
          <w:color w:val="000000"/>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 xml:space="preserve">第二条  </w:t>
      </w:r>
      <w:r>
        <w:rPr>
          <w:rFonts w:hint="eastAsia" w:ascii="仿宋" w:hAnsi="仿宋" w:eastAsia="仿宋" w:cs="仿宋"/>
          <w:color w:val="000000"/>
          <w:kern w:val="2"/>
          <w:sz w:val="32"/>
          <w:szCs w:val="32"/>
          <w:lang w:val="en-US" w:eastAsia="zh-CN" w:bidi="ar-SA"/>
        </w:rPr>
        <w:t>考核工作在市政府的领导下，由市工信局负责牵头组织市统计局、市自然资源局、市税务局、市生态环境局等部门和各旗县区按照本办法对全市工业企业和工业园区实施考核评价，形成考核评价报告上报市政府审定。</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6" w:beforeLines="30" w:beforeAutospacing="0" w:after="176" w:afterLines="30" w:afterAutospacing="0" w:line="240" w:lineRule="auto"/>
        <w:ind w:right="0" w:rightChars="0"/>
        <w:jc w:val="center"/>
        <w:textAlignment w:val="auto"/>
        <w:rPr>
          <w:rFonts w:hint="eastAsia" w:ascii="楷体" w:hAnsi="楷体" w:eastAsia="楷体" w:cs="楷体"/>
          <w:b/>
          <w:bCs/>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第二章  工业企业综合评价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 xml:space="preserve">第三条  </w:t>
      </w:r>
      <w:r>
        <w:rPr>
          <w:rFonts w:hint="eastAsia" w:ascii="仿宋" w:hAnsi="仿宋" w:eastAsia="仿宋" w:cs="仿宋"/>
          <w:b w:val="0"/>
          <w:bCs w:val="0"/>
          <w:kern w:val="2"/>
          <w:sz w:val="32"/>
          <w:szCs w:val="32"/>
          <w:lang w:val="en-US" w:eastAsia="zh-CN" w:bidi="ar-SA"/>
        </w:rPr>
        <w:t>评价范围为全市规模以上制造类工业企业。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FF0000"/>
          <w:sz w:val="32"/>
          <w:szCs w:val="32"/>
          <w:highlight w:val="none"/>
          <w:lang w:val="en-US" w:eastAsia="zh-CN"/>
        </w:rPr>
      </w:pPr>
      <w:bookmarkStart w:id="0" w:name="_Toc15555"/>
      <w:r>
        <w:rPr>
          <w:rFonts w:hint="eastAsia" w:ascii="黑体" w:hAnsi="黑体" w:eastAsia="黑体" w:cs="黑体"/>
          <w:b w:val="0"/>
          <w:bCs w:val="0"/>
          <w:color w:val="auto"/>
          <w:kern w:val="2"/>
          <w:sz w:val="32"/>
          <w:szCs w:val="32"/>
          <w:lang w:val="en-US" w:eastAsia="zh-CN" w:bidi="ar-SA"/>
        </w:rPr>
        <w:t xml:space="preserve">第四条  </w:t>
      </w:r>
      <w:r>
        <w:rPr>
          <w:rFonts w:hint="eastAsia" w:ascii="仿宋" w:hAnsi="仿宋" w:eastAsia="仿宋" w:cs="仿宋"/>
          <w:b w:val="0"/>
          <w:bCs w:val="0"/>
          <w:kern w:val="2"/>
          <w:sz w:val="32"/>
          <w:szCs w:val="32"/>
          <w:lang w:val="en-US" w:eastAsia="zh-CN" w:bidi="ar-SA"/>
        </w:rPr>
        <w:t>采用指标权重法</w:t>
      </w:r>
      <w:bookmarkEnd w:id="0"/>
      <w:r>
        <w:rPr>
          <w:rFonts w:hint="eastAsia" w:ascii="仿宋" w:hAnsi="仿宋" w:eastAsia="仿宋" w:cs="仿宋"/>
          <w:b w:val="0"/>
          <w:bCs w:val="0"/>
          <w:kern w:val="2"/>
          <w:sz w:val="32"/>
          <w:szCs w:val="32"/>
          <w:lang w:val="en-US" w:eastAsia="zh-CN" w:bidi="ar-SA"/>
        </w:rPr>
        <w:t>对工业企业“亩均效益”进行综合评价，各项评价指标及权重设置为：亩均税收占45%、亩均工业增加值占20%、单位能耗工业增加值占15%、单位排放工业增加值占7.5%、全员劳动生产率占10%、R&amp;D经费支出占主营业务收入比例占2.5%</w:t>
      </w:r>
      <w:r>
        <w:rPr>
          <w:rFonts w:hint="eastAsia" w:ascii="仿宋" w:hAnsi="仿宋" w:eastAsia="仿宋" w:cs="仿宋"/>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b w:val="0"/>
          <w:bCs w:val="0"/>
          <w:color w:val="auto"/>
          <w:kern w:val="2"/>
          <w:sz w:val="32"/>
          <w:szCs w:val="32"/>
          <w:lang w:val="en-US" w:eastAsia="zh-CN" w:bidi="ar-SA"/>
        </w:rPr>
        <w:t>第五条</w:t>
      </w:r>
      <w:r>
        <w:rPr>
          <w:rFonts w:hint="eastAsia" w:ascii="仿宋" w:hAnsi="仿宋" w:eastAsia="仿宋" w:cs="仿宋"/>
          <w:b/>
          <w:bCs/>
          <w:kern w:val="2"/>
          <w:sz w:val="32"/>
          <w:szCs w:val="32"/>
          <w:lang w:val="en-US" w:eastAsia="zh-CN" w:bidi="ar-SA"/>
        </w:rPr>
        <w:t xml:space="preserve"> </w:t>
      </w:r>
      <w:r>
        <w:rPr>
          <w:rFonts w:hint="eastAsia" w:ascii="仿宋" w:hAnsi="仿宋" w:eastAsia="仿宋" w:cs="仿宋"/>
          <w:b w:val="0"/>
          <w:bCs w:val="0"/>
          <w:kern w:val="2"/>
          <w:sz w:val="32"/>
          <w:szCs w:val="32"/>
          <w:lang w:val="en-US" w:eastAsia="zh-CN" w:bidi="ar-SA"/>
        </w:rPr>
        <w:t xml:space="preserve"> 计算企业综合评价得分，各单项指标的基准分为“权重</w:t>
      </w:r>
      <w:r>
        <w:rPr>
          <w:rFonts w:hint="eastAsia" w:ascii="汉仪细圆B5" w:hAnsi="汉仪细圆B5" w:eastAsia="汉仪细圆B5" w:cs="汉仪细圆B5"/>
          <w:b w:val="0"/>
          <w:bCs w:val="0"/>
          <w:kern w:val="2"/>
          <w:sz w:val="32"/>
          <w:szCs w:val="32"/>
          <w:lang w:val="en-US" w:eastAsia="zh-CN" w:bidi="ar-SA"/>
        </w:rPr>
        <w:t>×</w:t>
      </w:r>
      <w:r>
        <w:rPr>
          <w:rFonts w:hint="eastAsia" w:ascii="仿宋" w:hAnsi="仿宋" w:eastAsia="仿宋" w:cs="仿宋"/>
          <w:b w:val="0"/>
          <w:bCs w:val="0"/>
          <w:kern w:val="2"/>
          <w:sz w:val="32"/>
          <w:szCs w:val="32"/>
          <w:lang w:val="en-US" w:eastAsia="zh-CN" w:bidi="ar-SA"/>
        </w:rPr>
        <w:t>100分”。</w:t>
      </w:r>
      <w:r>
        <w:rPr>
          <w:rFonts w:hint="eastAsia" w:ascii="仿宋" w:hAnsi="仿宋" w:eastAsia="仿宋" w:cs="仿宋"/>
          <w:sz w:val="32"/>
          <w:szCs w:val="32"/>
          <w:lang w:val="en-US" w:eastAsia="zh-CN"/>
        </w:rPr>
        <w:t>企业单项指标得分及综合评价得分计算按照如下流程进行，共分五个步骤：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（一）计算企业各项指标值</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lang w:val="en-US" w:eastAsia="zh-CN"/>
        </w:rPr>
      </w:pPr>
      <w:r>
        <w:rPr>
          <w:rFonts w:hint="eastAsia" w:ascii="仿宋" w:hAnsi="仿宋" w:eastAsia="仿宋" w:cs="仿宋"/>
          <w:color w:val="000000"/>
          <w:kern w:val="32"/>
          <w:sz w:val="32"/>
          <w:szCs w:val="32"/>
        </w:rPr>
        <w:t xml:space="preserve">   </w:t>
      </w:r>
      <w:r>
        <w:rPr>
          <w:rFonts w:hint="eastAsia" w:ascii="仿宋" w:hAnsi="仿宋" w:eastAsia="仿宋" w:cs="仿宋"/>
          <w:sz w:val="32"/>
          <w:szCs w:val="32"/>
          <w:lang w:val="en-US" w:eastAsia="zh-CN"/>
        </w:rPr>
        <w:t xml:space="preserve"> 单项指标计算方法如下：</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（1）亩均税收=税收实际贡献数/用地面积</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（2）亩均工业增加值=工业增加值/用地面积</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（3）单位能耗工业增加值=工业增加值/综合能耗（等价值）</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sz w:val="32"/>
          <w:szCs w:val="32"/>
          <w:u w:val="none"/>
          <w:lang w:val="en-US" w:eastAsia="zh-CN"/>
        </w:rPr>
      </w:pPr>
      <w:r>
        <w:rPr>
          <w:rFonts w:hint="eastAsia" w:ascii="仿宋" w:hAnsi="仿宋" w:eastAsia="仿宋" w:cs="仿宋"/>
          <w:b w:val="0"/>
          <w:bCs w:val="0"/>
          <w:kern w:val="2"/>
          <w:sz w:val="32"/>
          <w:szCs w:val="32"/>
          <w:u w:val="none"/>
          <w:lang w:val="en-US" w:eastAsia="zh-CN" w:bidi="ar-SA"/>
        </w:rPr>
        <w:t>（4）单位排放工业增加值=工业增加值/污染物排放量</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（5）全员劳动生产率=工业增加值/年平均职工人数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（6）R&amp;D经费支出占主营业务收入=R&amp;D经费支出/主营业务收入。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（二）计算企业单项指标倍数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单项指标倍数=该项指标值/该项指标基准值。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（三）修正企业单项指标倍数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修正标准：单项指标最高得分原则上不超过该项指标基准分的2倍，最低零分。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（四）计算企业单项指标得分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单项指标得分=修正后的单项指标倍数</w:t>
      </w:r>
      <w:r>
        <w:rPr>
          <w:rFonts w:hint="eastAsia" w:ascii="汉仪细圆B5" w:hAnsi="汉仪细圆B5" w:eastAsia="汉仪细圆B5" w:cs="汉仪细圆B5"/>
          <w:b w:val="0"/>
          <w:bCs w:val="0"/>
          <w:sz w:val="32"/>
          <w:szCs w:val="32"/>
          <w:lang w:val="en-US" w:eastAsia="zh-CN"/>
        </w:rPr>
        <w:t>×</w:t>
      </w:r>
      <w:r>
        <w:rPr>
          <w:rFonts w:hint="eastAsia" w:ascii="仿宋" w:hAnsi="仿宋" w:eastAsia="仿宋" w:cs="仿宋"/>
          <w:b w:val="0"/>
          <w:bCs w:val="0"/>
          <w:sz w:val="32"/>
          <w:szCs w:val="32"/>
          <w:lang w:val="en-US" w:eastAsia="zh-CN"/>
        </w:rPr>
        <w:t>基准分。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（五）计算企业综合评价得分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企业综合评价得分=Σ单</w:t>
      </w:r>
      <w:r>
        <w:rPr>
          <w:rFonts w:hint="eastAsia" w:ascii="仿宋" w:hAnsi="仿宋" w:eastAsia="仿宋" w:cs="仿宋"/>
          <w:sz w:val="32"/>
          <w:szCs w:val="32"/>
          <w:lang w:val="en-US" w:eastAsia="zh-CN"/>
        </w:rPr>
        <w:t>项指标得分</w:t>
      </w:r>
      <w:bookmarkStart w:id="1" w:name="_Toc283"/>
      <w:r>
        <w:rPr>
          <w:rFonts w:hint="eastAsia" w:ascii="仿宋" w:hAnsi="仿宋" w:eastAsia="仿宋" w:cs="仿宋"/>
          <w:sz w:val="32"/>
          <w:szCs w:val="32"/>
          <w:lang w:val="en-US"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第六条</w:t>
      </w:r>
      <w:bookmarkEnd w:id="1"/>
      <w:r>
        <w:rPr>
          <w:rFonts w:hint="eastAsia" w:ascii="黑体" w:hAnsi="黑体" w:eastAsia="黑体" w:cs="黑体"/>
          <w:b w:val="0"/>
          <w:bCs w:val="0"/>
          <w:color w:val="auto"/>
          <w:kern w:val="2"/>
          <w:sz w:val="32"/>
          <w:szCs w:val="32"/>
          <w:lang w:val="en-US" w:eastAsia="zh-CN" w:bidi="ar-SA"/>
        </w:rPr>
        <w:t xml:space="preserve">  </w:t>
      </w:r>
      <w:r>
        <w:rPr>
          <w:rFonts w:hint="eastAsia" w:ascii="仿宋" w:hAnsi="仿宋" w:eastAsia="仿宋" w:cs="仿宋"/>
          <w:b w:val="0"/>
          <w:bCs w:val="0"/>
          <w:kern w:val="2"/>
          <w:sz w:val="32"/>
          <w:szCs w:val="32"/>
          <w:lang w:val="en-US" w:eastAsia="zh-CN" w:bidi="ar-SA"/>
        </w:rPr>
        <w:t>根据企业综合评价总得分结果进行A、B、C、D分类排序。</w:t>
      </w:r>
      <w:r>
        <w:rPr>
          <w:rFonts w:hint="eastAsia" w:ascii="仿宋" w:hAnsi="仿宋" w:eastAsia="仿宋" w:cs="仿宋"/>
          <w:kern w:val="2"/>
          <w:sz w:val="32"/>
          <w:szCs w:val="32"/>
          <w:lang w:val="en-US" w:eastAsia="zh-CN" w:bidi="ar-SA"/>
        </w:rPr>
        <w:t>综合评价得分排名前20%（含）的规上企业，为A类（优先发展类）；排名20%--70%（含）之间的，为B类（优化提升类）；排名70%--95%（含）之间的，为C类（帮扶转型类）；排名末5%（不含）的，为D类（倒逼整治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b/>
          <w:bCs/>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第七条</w:t>
      </w:r>
      <w:r>
        <w:rPr>
          <w:rFonts w:hint="eastAsia" w:ascii="仿宋" w:hAnsi="仿宋" w:eastAsia="仿宋" w:cs="仿宋"/>
          <w:b/>
          <w:bCs/>
          <w:color w:val="auto"/>
          <w:kern w:val="2"/>
          <w:sz w:val="32"/>
          <w:szCs w:val="32"/>
          <w:lang w:val="en-US" w:eastAsia="zh-CN" w:bidi="ar-SA"/>
        </w:rPr>
        <w:t xml:space="preserve">  </w:t>
      </w:r>
      <w:r>
        <w:rPr>
          <w:rFonts w:hint="eastAsia" w:ascii="仿宋" w:hAnsi="仿宋" w:eastAsia="仿宋" w:cs="仿宋"/>
          <w:kern w:val="2"/>
          <w:sz w:val="32"/>
          <w:szCs w:val="32"/>
          <w:lang w:val="en-US" w:eastAsia="zh-CN" w:bidi="ar-SA"/>
        </w:rPr>
        <w:t>实行差别化要素配置政策。</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 w:hAnsi="仿宋" w:eastAsia="仿宋" w:cs="仿宋"/>
          <w:color w:val="000000"/>
          <w:kern w:val="2"/>
          <w:sz w:val="32"/>
          <w:szCs w:val="32"/>
          <w:lang w:val="en-US" w:eastAsia="zh-CN" w:bidi="ar-SA"/>
        </w:rPr>
      </w:pPr>
      <w:r>
        <w:rPr>
          <w:rFonts w:hint="eastAsia" w:ascii="楷体" w:hAnsi="楷体" w:eastAsia="楷体" w:cs="楷体"/>
          <w:kern w:val="2"/>
          <w:sz w:val="32"/>
          <w:szCs w:val="32"/>
          <w:lang w:val="en-US" w:eastAsia="zh-CN" w:bidi="ar-SA"/>
        </w:rPr>
        <w:t>（一）完善差别化用地政策。</w:t>
      </w:r>
      <w:r>
        <w:rPr>
          <w:rFonts w:hint="eastAsia" w:ascii="仿宋" w:hAnsi="仿宋" w:eastAsia="仿宋" w:cs="仿宋"/>
          <w:color w:val="000000"/>
          <w:kern w:val="2"/>
          <w:sz w:val="32"/>
          <w:szCs w:val="32"/>
          <w:lang w:val="en-US" w:eastAsia="zh-CN" w:bidi="ar-SA"/>
        </w:rPr>
        <w:t>优先安排A类和优化提升明显的B类企业土地利用计划指标、耕地占补平衡指标。原则上对C类、D类企业不支持新增同类产能项目。加快制定城镇土地使用税差别化政策。加快推进“批而未供、供而未建”土地处置利用，支持旗县区采取协商收回、协议置换、收购储备等方式实施城镇低效用地再开发。</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 w:hAnsi="仿宋" w:eastAsia="仿宋" w:cs="仿宋"/>
          <w:color w:val="000000"/>
          <w:kern w:val="2"/>
          <w:sz w:val="32"/>
          <w:szCs w:val="32"/>
          <w:lang w:val="en-US" w:eastAsia="zh-CN" w:bidi="ar-SA"/>
        </w:rPr>
      </w:pPr>
      <w:r>
        <w:rPr>
          <w:rFonts w:hint="eastAsia" w:ascii="楷体" w:hAnsi="楷体" w:eastAsia="楷体" w:cs="楷体"/>
          <w:kern w:val="2"/>
          <w:sz w:val="32"/>
          <w:szCs w:val="32"/>
          <w:lang w:val="en-US" w:eastAsia="zh-CN" w:bidi="ar-SA"/>
        </w:rPr>
        <w:t>（二）完善差别化用能政策。</w:t>
      </w:r>
      <w:r>
        <w:rPr>
          <w:rFonts w:hint="eastAsia" w:ascii="仿宋" w:hAnsi="仿宋" w:eastAsia="仿宋" w:cs="仿宋"/>
          <w:color w:val="000000"/>
          <w:kern w:val="2"/>
          <w:sz w:val="32"/>
          <w:szCs w:val="32"/>
          <w:lang w:val="en-US" w:eastAsia="zh-CN" w:bidi="ar-SA"/>
        </w:rPr>
        <w:t>严格执行国家、自治区差别化电价、阶梯电价和惩罚性电价政策。对A类和优化提升明显的B类企业按行业分类优先保障用能需求，原则上不支持C类、D类企业新增用能。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 w:hAnsi="仿宋" w:eastAsia="仿宋" w:cs="仿宋"/>
          <w:color w:val="000000"/>
          <w:kern w:val="2"/>
          <w:sz w:val="32"/>
          <w:szCs w:val="32"/>
          <w:lang w:val="en-US" w:eastAsia="zh-CN" w:bidi="ar-SA"/>
        </w:rPr>
      </w:pPr>
      <w:r>
        <w:rPr>
          <w:rFonts w:hint="eastAsia" w:ascii="楷体" w:hAnsi="楷体" w:eastAsia="楷体" w:cs="楷体"/>
          <w:kern w:val="2"/>
          <w:sz w:val="32"/>
          <w:szCs w:val="32"/>
          <w:lang w:val="en-US" w:eastAsia="zh-CN" w:bidi="ar-SA"/>
        </w:rPr>
        <w:t>（三）完善差别化用水政策。</w:t>
      </w:r>
      <w:r>
        <w:rPr>
          <w:rFonts w:hint="eastAsia" w:ascii="仿宋" w:hAnsi="仿宋" w:eastAsia="仿宋" w:cs="仿宋"/>
          <w:color w:val="000000"/>
          <w:kern w:val="2"/>
          <w:sz w:val="32"/>
          <w:szCs w:val="32"/>
          <w:lang w:val="en-US" w:eastAsia="zh-CN" w:bidi="ar-SA"/>
        </w:rPr>
        <w:t>在保障总量平衡的基础上，对A类和优化提升明显的B类企业，在安排用水计划上予以优先保障。原则上不支持C类、D类企业新增用水。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 w:hAnsi="仿宋" w:eastAsia="仿宋" w:cs="仿宋"/>
          <w:color w:val="000000"/>
          <w:kern w:val="2"/>
          <w:sz w:val="32"/>
          <w:szCs w:val="32"/>
          <w:lang w:val="en-US" w:eastAsia="zh-CN" w:bidi="ar-SA"/>
        </w:rPr>
      </w:pPr>
      <w:r>
        <w:rPr>
          <w:rFonts w:hint="eastAsia" w:ascii="楷体" w:hAnsi="楷体" w:eastAsia="楷体" w:cs="楷体"/>
          <w:kern w:val="2"/>
          <w:sz w:val="32"/>
          <w:szCs w:val="32"/>
          <w:lang w:val="en-US" w:eastAsia="zh-CN" w:bidi="ar-SA"/>
        </w:rPr>
        <w:t>（四）完善差别化财政政策。</w:t>
      </w:r>
      <w:r>
        <w:rPr>
          <w:rFonts w:hint="eastAsia" w:ascii="仿宋" w:hAnsi="仿宋" w:eastAsia="仿宋" w:cs="仿宋"/>
          <w:color w:val="000000"/>
          <w:kern w:val="2"/>
          <w:sz w:val="32"/>
          <w:szCs w:val="32"/>
          <w:lang w:val="en-US" w:eastAsia="zh-CN" w:bidi="ar-SA"/>
        </w:rPr>
        <w:t>对A类和优化提升明显的B类企业优先享受政府各类财政补助政策，优先给予人才引培、项目建设、创新驱动等方面政策扶持。原则上不支持C类、D类企业享受政府各类财政补助政策。</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 w:hAnsi="仿宋" w:eastAsia="仿宋" w:cs="仿宋"/>
          <w:color w:val="000000"/>
          <w:kern w:val="2"/>
          <w:sz w:val="32"/>
          <w:szCs w:val="32"/>
          <w:lang w:val="en-US" w:eastAsia="zh-CN" w:bidi="ar-SA"/>
        </w:rPr>
      </w:pPr>
      <w:r>
        <w:rPr>
          <w:rFonts w:hint="eastAsia" w:ascii="楷体" w:hAnsi="楷体" w:eastAsia="楷体" w:cs="楷体"/>
          <w:kern w:val="2"/>
          <w:sz w:val="32"/>
          <w:szCs w:val="32"/>
          <w:lang w:val="en-US" w:eastAsia="zh-CN" w:bidi="ar-SA"/>
        </w:rPr>
        <w:t>（五）实行差别化信贷政策。</w:t>
      </w:r>
      <w:r>
        <w:rPr>
          <w:rFonts w:hint="eastAsia" w:ascii="仿宋" w:hAnsi="仿宋" w:eastAsia="仿宋" w:cs="仿宋"/>
          <w:color w:val="000000"/>
          <w:kern w:val="2"/>
          <w:sz w:val="32"/>
          <w:szCs w:val="32"/>
          <w:lang w:val="en-US" w:eastAsia="zh-CN" w:bidi="ar-SA"/>
        </w:rPr>
        <w:t>在风险可控的前提下,支持金融机构实施差别化信贷政策,对A类和优化提升明显的B类企业在信用评级、贷款准入、贷款授信、利率优惠等金融服务方面给予重点支持。原则上对C类、D类企业，全面客观地向金融机构通报企业资质，确保科学研判，降低金融风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6" w:beforeLines="30" w:beforeAutospacing="0" w:after="176" w:afterLines="30" w:afterAutospacing="0" w:line="240" w:lineRule="auto"/>
        <w:ind w:right="0"/>
        <w:jc w:val="center"/>
        <w:textAlignment w:val="auto"/>
        <w:rPr>
          <w:rFonts w:hint="eastAsia" w:ascii="楷体" w:hAnsi="楷体" w:eastAsia="楷体" w:cs="楷体"/>
          <w:b/>
          <w:bCs/>
          <w:color w:val="000000"/>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第三章  工业园区（开发区）综合评价</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 w:hAnsi="仿宋" w:eastAsia="仿宋" w:cs="仿宋"/>
          <w:color w:val="000000"/>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 xml:space="preserve">第八条 </w:t>
      </w:r>
      <w:r>
        <w:rPr>
          <w:rFonts w:hint="eastAsia" w:ascii="仿宋" w:hAnsi="仿宋" w:eastAsia="仿宋" w:cs="仿宋"/>
          <w:b/>
          <w:bCs/>
          <w:color w:val="000000"/>
          <w:kern w:val="2"/>
          <w:sz w:val="32"/>
          <w:szCs w:val="32"/>
          <w:lang w:val="en-US" w:eastAsia="zh-CN" w:bidi="ar-SA"/>
        </w:rPr>
        <w:t xml:space="preserve"> </w:t>
      </w:r>
      <w:r>
        <w:rPr>
          <w:rFonts w:hint="eastAsia" w:ascii="仿宋" w:hAnsi="仿宋" w:eastAsia="仿宋" w:cs="仿宋"/>
          <w:color w:val="000000"/>
          <w:kern w:val="2"/>
          <w:sz w:val="32"/>
          <w:szCs w:val="32"/>
          <w:lang w:val="en-US" w:eastAsia="zh-CN" w:bidi="ar-SA"/>
        </w:rPr>
        <w:t>评价范围为各工业园区（包括稀土高新区、金属深加工园区、装备制造产业园区、铝业产业园区、九原工业园区、石拐工业园区、土右新型工业园区、金山工业园区、达茂巴润工业园区和白云产业园），以工业园区（开发区）批准范围为边界开展评价。</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 w:hAnsi="仿宋" w:eastAsia="仿宋" w:cs="仿宋"/>
          <w:color w:val="000000"/>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 xml:space="preserve">第九条  </w:t>
      </w:r>
      <w:r>
        <w:rPr>
          <w:rFonts w:hint="eastAsia" w:ascii="仿宋" w:hAnsi="仿宋" w:eastAsia="仿宋" w:cs="仿宋"/>
          <w:color w:val="000000"/>
          <w:kern w:val="2"/>
          <w:sz w:val="32"/>
          <w:szCs w:val="32"/>
          <w:lang w:val="en-US" w:eastAsia="zh-CN" w:bidi="ar-SA"/>
        </w:rPr>
        <w:t>评价指标包括亩均规上工业增加值（权重为40％）、亩均税收（权重为30％）、亩均工业固定资产投资（权重为30％）3项指标。</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 w:hAnsi="仿宋" w:eastAsia="仿宋" w:cs="仿宋"/>
          <w:color w:val="000000"/>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 xml:space="preserve">第十条 </w:t>
      </w:r>
      <w:r>
        <w:rPr>
          <w:rFonts w:hint="eastAsia" w:ascii="仿宋" w:hAnsi="仿宋" w:eastAsia="仿宋" w:cs="仿宋"/>
          <w:color w:val="000000"/>
          <w:kern w:val="2"/>
          <w:sz w:val="32"/>
          <w:szCs w:val="32"/>
          <w:lang w:val="en-US" w:eastAsia="zh-CN" w:bidi="ar-SA"/>
        </w:rPr>
        <w:t>采用功效系数法进行考核评价，即将全市各工业园区考核评价指标进行全市排名，将考核评价指标全市最高值设置为100分，最低值设置为60分，计算各园区得分，计算公式：</w:t>
      </w:r>
    </w:p>
    <w:p>
      <w:pPr>
        <w:spacing w:line="300" w:lineRule="exact"/>
        <w:jc w:val="left"/>
        <w:rPr>
          <w:rFonts w:hint="eastAsia" w:ascii="仿宋" w:hAnsi="仿宋" w:eastAsia="仿宋" w:cs="仿宋"/>
          <w:sz w:val="32"/>
          <w:szCs w:val="32"/>
          <w:lang w:val="en-US" w:eastAsia="zh-CN"/>
        </w:rPr>
      </w:pPr>
    </w:p>
    <w:p>
      <w:pPr>
        <w:spacing w:line="300" w:lineRule="exact"/>
        <w:jc w:val="left"/>
        <w:rPr>
          <w:rFonts w:hint="eastAsia" w:ascii="仿宋" w:hAnsi="仿宋" w:eastAsia="仿宋" w:cs="仿宋"/>
          <w:sz w:val="32"/>
          <w:szCs w:val="32"/>
        </w:rPr>
      </w:pPr>
      <w:r>
        <w:rPr>
          <w:rFonts w:hint="eastAsia" w:ascii="仿宋" w:hAnsi="仿宋" w:eastAsia="仿宋" w:cs="仿宋"/>
          <w:sz w:val="32"/>
          <w:szCs w:val="32"/>
          <w:lang w:val="en-US" w:eastAsia="zh-CN"/>
        </w:rPr>
        <w:t>（本园区指标值</w:t>
      </w:r>
      <w:r>
        <w:rPr>
          <w:rFonts w:hint="eastAsia" w:ascii="仿宋" w:hAnsi="仿宋" w:eastAsia="仿宋" w:cs="仿宋"/>
          <w:sz w:val="32"/>
          <w:szCs w:val="32"/>
        </w:rPr>
        <w:t>-</w:t>
      </w:r>
      <w:r>
        <w:rPr>
          <w:rFonts w:hint="eastAsia" w:ascii="仿宋" w:hAnsi="仿宋" w:eastAsia="仿宋" w:cs="仿宋"/>
          <w:sz w:val="32"/>
          <w:szCs w:val="32"/>
          <w:lang w:eastAsia="zh-CN"/>
        </w:rPr>
        <w:t>园</w:t>
      </w:r>
      <w:r>
        <w:rPr>
          <w:rFonts w:hint="eastAsia" w:ascii="仿宋" w:hAnsi="仿宋" w:eastAsia="仿宋" w:cs="仿宋"/>
          <w:sz w:val="32"/>
          <w:szCs w:val="32"/>
        </w:rPr>
        <w:t>区最低值</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tabs>
          <w:tab w:val="left" w:pos="212"/>
        </w:tabs>
        <w:spacing w:line="300" w:lineRule="exact"/>
        <w:ind w:right="640" w:firstLine="5120" w:firstLineChars="1600"/>
        <w:rPr>
          <w:rFonts w:hint="default" w:ascii="仿宋" w:hAnsi="仿宋" w:eastAsia="仿宋" w:cs="仿宋"/>
          <w:sz w:val="32"/>
          <w:szCs w:val="32"/>
          <w:lang w:val="en-US" w:eastAsia="zh-CN"/>
        </w:rPr>
      </w:pPr>
      <w:r>
        <w:rPr>
          <w:rFonts w:ascii="仿宋" w:hAnsi="仿宋" w:eastAsia="仿宋" w:cs="Arial"/>
          <w:sz w:val="32"/>
          <w:szCs w:val="32"/>
        </w:rPr>
        <mc:AlternateContent>
          <mc:Choice Requires="wps">
            <w:drawing>
              <wp:anchor distT="0" distB="0" distL="114300" distR="114300" simplePos="0" relativeHeight="251659264" behindDoc="0" locked="0" layoutInCell="1" allowOverlap="1">
                <wp:simplePos x="0" y="0"/>
                <wp:positionH relativeFrom="column">
                  <wp:posOffset>139065</wp:posOffset>
                </wp:positionH>
                <wp:positionV relativeFrom="paragraph">
                  <wp:posOffset>79375</wp:posOffset>
                </wp:positionV>
                <wp:extent cx="2562860" cy="635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3037840" cy="635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y;margin-left:10.95pt;margin-top:6.25pt;height:0.5pt;width:201.8pt;z-index:251659264;mso-width-relative:page;mso-height-relative:page;" filled="f" stroked="t" coordsize="21600,21600" o:gfxdata="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3ws9a9YAAAAIAQAADwAA&#10;AAAAAAABACAAAAA4AAAAZHJzL2Rvd25yZXYueG1sUEsBAhQAFAAAAAgAh07iQFKkYh0CAgAA7gMA&#10;AA4AAAAAAAAAAQAgAAAAOwEAAGRycy9lMm9Eb2MueG1sUEsFBgAAAAAGAAYAWQEAAK8FAAAAAA==&#10;">
                <v:fill on="f" focussize="0,0"/>
                <v:stroke color="#000000" joinstyle="round"/>
                <v:imagedata o:title=""/>
                <o:lock v:ext="edit" aspectratio="f"/>
              </v:line>
            </w:pict>
          </mc:Fallback>
        </mc:AlternateContent>
      </w:r>
      <w:r>
        <w:rPr>
          <w:rFonts w:ascii="仿宋" w:hAnsi="仿宋" w:eastAsia="仿宋" w:cs="Arial"/>
          <w:sz w:val="32"/>
          <w:szCs w:val="32"/>
        </w:rPr>
        <w:t>×</w:t>
      </w:r>
      <w:r>
        <w:rPr>
          <w:rFonts w:hint="eastAsia" w:ascii="仿宋" w:hAnsi="仿宋" w:eastAsia="仿宋" w:cs="Arial"/>
          <w:sz w:val="32"/>
          <w:szCs w:val="32"/>
          <w:lang w:val="en-US" w:eastAsia="zh-CN"/>
        </w:rPr>
        <w:t>40 + 60</w:t>
      </w:r>
    </w:p>
    <w:p>
      <w:pPr>
        <w:spacing w:line="300" w:lineRule="exact"/>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（园</w:t>
      </w:r>
      <w:r>
        <w:rPr>
          <w:rFonts w:hint="eastAsia" w:ascii="仿宋" w:hAnsi="仿宋" w:eastAsia="仿宋" w:cs="仿宋"/>
          <w:sz w:val="32"/>
          <w:szCs w:val="32"/>
        </w:rPr>
        <w:t>区最高值-</w:t>
      </w:r>
      <w:r>
        <w:rPr>
          <w:rFonts w:hint="eastAsia" w:ascii="仿宋" w:hAnsi="仿宋" w:eastAsia="仿宋" w:cs="仿宋"/>
          <w:sz w:val="32"/>
          <w:szCs w:val="32"/>
          <w:lang w:eastAsia="zh-CN"/>
        </w:rPr>
        <w:t>园</w:t>
      </w:r>
      <w:r>
        <w:rPr>
          <w:rFonts w:hint="eastAsia" w:ascii="仿宋" w:hAnsi="仿宋" w:eastAsia="仿宋" w:cs="仿宋"/>
          <w:sz w:val="32"/>
          <w:szCs w:val="32"/>
        </w:rPr>
        <w:t>区最低值</w:t>
      </w:r>
      <w:r>
        <w:rPr>
          <w:rFonts w:hint="eastAsia" w:ascii="仿宋" w:hAnsi="仿宋" w:eastAsia="仿宋" w:cs="仿宋"/>
          <w:sz w:val="32"/>
          <w:szCs w:val="32"/>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right="0" w:firstLine="640" w:firstLineChars="200"/>
        <w:jc w:val="both"/>
        <w:textAlignment w:val="auto"/>
        <w:rPr>
          <w:rFonts w:hint="default" w:ascii="仿宋" w:hAnsi="仿宋" w:eastAsia="仿宋" w:cs="仿宋"/>
          <w:color w:val="000000"/>
          <w:kern w:val="2"/>
          <w:sz w:val="32"/>
          <w:szCs w:val="32"/>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b w:val="0"/>
          <w:bCs w:val="0"/>
          <w:color w:val="auto"/>
          <w:kern w:val="2"/>
          <w:sz w:val="32"/>
          <w:szCs w:val="32"/>
          <w:lang w:val="en-US" w:eastAsia="zh-CN" w:bidi="ar-SA"/>
        </w:rPr>
        <w:t xml:space="preserve">第十一条  </w:t>
      </w:r>
      <w:r>
        <w:rPr>
          <w:rFonts w:hint="eastAsia" w:ascii="仿宋" w:hAnsi="仿宋" w:eastAsia="仿宋" w:cs="仿宋"/>
          <w:sz w:val="32"/>
          <w:szCs w:val="32"/>
          <w:lang w:val="en-US" w:eastAsia="zh-CN"/>
        </w:rPr>
        <w:t xml:space="preserve"> 单项指标计算方法：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（1）单位土地面积规上工业增加值=规上工业增加值/用地面积。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（2）单位土地面积税收贡献=税收实际贡献/用地面积。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 w:hAnsi="仿宋" w:eastAsia="仿宋" w:cs="仿宋"/>
          <w:color w:val="000000"/>
          <w:spacing w:val="-5"/>
          <w:kern w:val="2"/>
          <w:sz w:val="32"/>
          <w:szCs w:val="32"/>
          <w:lang w:val="en-US" w:eastAsia="zh-CN" w:bidi="ar-SA"/>
        </w:rPr>
      </w:pPr>
      <w:r>
        <w:rPr>
          <w:rFonts w:hint="eastAsia" w:ascii="仿宋" w:hAnsi="仿宋" w:eastAsia="仿宋" w:cs="仿宋"/>
          <w:color w:val="000000"/>
          <w:kern w:val="2"/>
          <w:sz w:val="32"/>
          <w:szCs w:val="32"/>
          <w:lang w:val="en-US" w:eastAsia="zh-CN" w:bidi="ar-SA"/>
        </w:rPr>
        <w:t>（3）</w:t>
      </w:r>
      <w:r>
        <w:rPr>
          <w:rFonts w:hint="eastAsia" w:ascii="仿宋" w:hAnsi="仿宋" w:eastAsia="仿宋" w:cs="仿宋"/>
          <w:color w:val="000000"/>
          <w:spacing w:val="-5"/>
          <w:kern w:val="2"/>
          <w:sz w:val="32"/>
          <w:szCs w:val="32"/>
          <w:lang w:val="en-US" w:eastAsia="zh-CN" w:bidi="ar-SA"/>
        </w:rPr>
        <w:t>单位土地面积固定资产投资=固定资产投资额/用地面积。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用地面积指自然资源厅公布的各工业园区城镇集中建设区面积。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 w:hAnsi="仿宋" w:eastAsia="仿宋" w:cs="仿宋"/>
          <w:color w:val="000000"/>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第十二条</w:t>
      </w:r>
      <w:r>
        <w:rPr>
          <w:rFonts w:hint="eastAsia" w:ascii="仿宋" w:hAnsi="仿宋" w:eastAsia="仿宋" w:cs="仿宋"/>
          <w:b/>
          <w:bCs/>
          <w:color w:val="000000"/>
          <w:kern w:val="2"/>
          <w:sz w:val="32"/>
          <w:szCs w:val="32"/>
          <w:lang w:val="en-US" w:eastAsia="zh-CN" w:bidi="ar-SA"/>
        </w:rPr>
        <w:t xml:space="preserve">  </w:t>
      </w:r>
      <w:r>
        <w:rPr>
          <w:rFonts w:hint="eastAsia" w:ascii="仿宋" w:hAnsi="仿宋" w:eastAsia="仿宋" w:cs="仿宋"/>
          <w:color w:val="000000"/>
          <w:kern w:val="2"/>
          <w:sz w:val="32"/>
          <w:szCs w:val="32"/>
          <w:lang w:val="en-US" w:eastAsia="zh-CN" w:bidi="ar-SA"/>
        </w:rPr>
        <w:t>按照各项指标及其权重，计算得到考核评价分值，对园区进行排序。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 w:hAnsi="仿宋" w:eastAsia="仿宋" w:cs="仿宋"/>
          <w:color w:val="000000"/>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 xml:space="preserve">第十三条  </w:t>
      </w:r>
      <w:r>
        <w:rPr>
          <w:rFonts w:hint="eastAsia" w:ascii="仿宋" w:hAnsi="仿宋" w:eastAsia="仿宋" w:cs="仿宋"/>
          <w:color w:val="000000"/>
          <w:kern w:val="2"/>
          <w:sz w:val="32"/>
          <w:szCs w:val="32"/>
          <w:lang w:val="en-US" w:eastAsia="zh-CN" w:bidi="ar-SA"/>
        </w:rPr>
        <w:t>对综合考评列入自治区前5的园区予以表彰奖励，优先保障用地、用能、用水需求；优先支持申报各级各类产业发展专项资金。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6" w:beforeLines="30" w:beforeAutospacing="0" w:after="176" w:afterLines="30" w:afterAutospacing="0" w:line="240" w:lineRule="auto"/>
        <w:ind w:right="0"/>
        <w:jc w:val="center"/>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第四章  评价程序</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黑体" w:hAnsi="黑体" w:eastAsia="黑体" w:cs="黑体"/>
          <w:color w:val="000000"/>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 xml:space="preserve">第十四条  </w:t>
      </w:r>
      <w:r>
        <w:rPr>
          <w:rFonts w:hint="eastAsia" w:ascii="仿宋" w:hAnsi="仿宋" w:eastAsia="仿宋" w:cs="仿宋"/>
          <w:color w:val="000000"/>
          <w:kern w:val="2"/>
          <w:sz w:val="32"/>
          <w:szCs w:val="32"/>
          <w:lang w:val="en-US" w:eastAsia="zh-CN" w:bidi="ar-SA"/>
        </w:rPr>
        <w:t>考核评价每年2月进行，由市工业和信息化局负责组织实施。考核评价指标以工业企业、工业园区上一年度数据为准。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黑体" w:hAnsi="黑体" w:eastAsia="黑体" w:cs="黑体"/>
          <w:color w:val="000000"/>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 xml:space="preserve">第十五条  </w:t>
      </w:r>
      <w:r>
        <w:rPr>
          <w:rFonts w:hint="eastAsia" w:ascii="仿宋" w:hAnsi="仿宋" w:eastAsia="仿宋" w:cs="仿宋"/>
          <w:color w:val="000000"/>
          <w:kern w:val="2"/>
          <w:sz w:val="32"/>
          <w:szCs w:val="32"/>
          <w:lang w:val="en-US" w:eastAsia="zh-CN" w:bidi="ar-SA"/>
        </w:rPr>
        <w:t>考核评价程序主要包括：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Times New Roman"/>
          <w:sz w:val="32"/>
          <w:szCs w:val="32"/>
          <w:lang w:eastAsia="zh-CN"/>
        </w:rPr>
      </w:pPr>
      <w:r>
        <w:rPr>
          <w:rFonts w:hint="eastAsia" w:ascii="楷体" w:hAnsi="楷体" w:eastAsia="楷体" w:cs="楷体"/>
          <w:sz w:val="32"/>
          <w:szCs w:val="32"/>
          <w:lang w:eastAsia="zh-CN"/>
        </w:rPr>
        <w:t>（一）汇总</w:t>
      </w:r>
      <w:r>
        <w:rPr>
          <w:rFonts w:hint="eastAsia" w:ascii="楷体" w:hAnsi="楷体" w:eastAsia="楷体" w:cs="楷体"/>
          <w:sz w:val="32"/>
          <w:szCs w:val="32"/>
        </w:rPr>
        <w:t>数据</w:t>
      </w:r>
      <w:r>
        <w:rPr>
          <w:rFonts w:hint="eastAsia" w:ascii="CESI楷体-GB2312" w:hAnsi="CESI楷体-GB2312" w:eastAsia="CESI楷体-GB2312" w:cs="CESI楷体-GB2312"/>
          <w:sz w:val="32"/>
          <w:szCs w:val="32"/>
        </w:rPr>
        <w:t>。</w:t>
      </w:r>
      <w:r>
        <w:rPr>
          <w:rFonts w:hint="eastAsia" w:ascii="仿宋" w:hAnsi="仿宋" w:eastAsia="仿宋" w:cs="仿宋"/>
          <w:color w:val="000000"/>
          <w:kern w:val="2"/>
          <w:sz w:val="32"/>
          <w:szCs w:val="32"/>
          <w:lang w:val="en-US" w:eastAsia="zh-CN" w:bidi="ar-SA"/>
        </w:rPr>
        <w:t>市统计局、自然资源局、生态环境局、税务局等要充分发挥部门职能，</w:t>
      </w:r>
      <w:r>
        <w:rPr>
          <w:rFonts w:hint="eastAsia" w:ascii="仿宋" w:hAnsi="仿宋" w:eastAsia="仿宋" w:cs="Times New Roman"/>
          <w:sz w:val="32"/>
          <w:szCs w:val="32"/>
          <w:lang w:eastAsia="zh-CN"/>
        </w:rPr>
        <w:t>按照考核评价指标体系，提供考核评价数据，</w:t>
      </w:r>
      <w:r>
        <w:rPr>
          <w:rFonts w:hint="eastAsia" w:ascii="仿宋" w:hAnsi="仿宋" w:eastAsia="仿宋" w:cs="仿宋"/>
          <w:color w:val="000000"/>
          <w:kern w:val="2"/>
          <w:sz w:val="32"/>
          <w:szCs w:val="32"/>
          <w:lang w:val="en-US" w:eastAsia="zh-CN" w:bidi="ar-SA"/>
        </w:rPr>
        <w:t>确保各项指标数据真实准确合规，准确客观反映企业、园区发展实际情况。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Times New Roman"/>
          <w:sz w:val="32"/>
          <w:szCs w:val="32"/>
        </w:rPr>
      </w:pPr>
      <w:r>
        <w:rPr>
          <w:rFonts w:hint="eastAsia" w:ascii="楷体" w:hAnsi="楷体" w:eastAsia="楷体" w:cs="楷体"/>
          <w:sz w:val="32"/>
          <w:szCs w:val="32"/>
          <w:lang w:eastAsia="zh-CN"/>
        </w:rPr>
        <w:t>（二）组织考评</w:t>
      </w:r>
      <w:r>
        <w:rPr>
          <w:rFonts w:hint="eastAsia" w:ascii="CESI楷体-GB2312" w:hAnsi="CESI楷体-GB2312" w:eastAsia="CESI楷体-GB2312" w:cs="CESI楷体-GB2312"/>
          <w:sz w:val="32"/>
          <w:szCs w:val="32"/>
        </w:rPr>
        <w:t>。</w:t>
      </w:r>
      <w:r>
        <w:rPr>
          <w:rFonts w:hint="eastAsia" w:ascii="仿宋" w:hAnsi="仿宋" w:eastAsia="仿宋" w:cs="Times New Roman"/>
          <w:sz w:val="32"/>
          <w:szCs w:val="32"/>
          <w:lang w:eastAsia="zh-CN"/>
        </w:rPr>
        <w:t>市工信局会同有关</w:t>
      </w:r>
      <w:r>
        <w:rPr>
          <w:rFonts w:hint="eastAsia" w:ascii="仿宋" w:hAnsi="仿宋" w:eastAsia="仿宋" w:cs="Times New Roman"/>
          <w:sz w:val="32"/>
          <w:szCs w:val="32"/>
        </w:rPr>
        <w:t>成员单位</w:t>
      </w:r>
      <w:r>
        <w:rPr>
          <w:rFonts w:hint="eastAsia" w:ascii="仿宋" w:hAnsi="仿宋" w:eastAsia="仿宋" w:cs="Times New Roman"/>
          <w:sz w:val="32"/>
          <w:szCs w:val="32"/>
          <w:lang w:eastAsia="zh-CN"/>
        </w:rPr>
        <w:t>组</w:t>
      </w:r>
      <w:r>
        <w:rPr>
          <w:rFonts w:hint="eastAsia" w:ascii="仿宋" w:hAnsi="仿宋" w:eastAsia="仿宋" w:cs="Times New Roman"/>
          <w:sz w:val="32"/>
          <w:szCs w:val="32"/>
        </w:rPr>
        <w:t>成考评组</w:t>
      </w:r>
      <w:r>
        <w:rPr>
          <w:rFonts w:hint="eastAsia" w:ascii="仿宋" w:hAnsi="仿宋" w:eastAsia="仿宋" w:cs="Times New Roman"/>
          <w:sz w:val="32"/>
          <w:szCs w:val="32"/>
          <w:lang w:eastAsia="zh-CN"/>
        </w:rPr>
        <w:t>，</w:t>
      </w:r>
      <w:r>
        <w:rPr>
          <w:rFonts w:hint="eastAsia" w:ascii="仿宋" w:hAnsi="仿宋" w:eastAsia="仿宋" w:cs="Times New Roman"/>
          <w:sz w:val="32"/>
          <w:szCs w:val="32"/>
        </w:rPr>
        <w:t>对</w:t>
      </w:r>
      <w:r>
        <w:rPr>
          <w:rFonts w:hint="eastAsia" w:ascii="仿宋" w:hAnsi="仿宋" w:eastAsia="仿宋" w:cs="Times New Roman"/>
          <w:sz w:val="32"/>
          <w:szCs w:val="32"/>
          <w:lang w:eastAsia="zh-CN"/>
        </w:rPr>
        <w:t>汇总</w:t>
      </w:r>
      <w:r>
        <w:rPr>
          <w:rFonts w:hint="eastAsia" w:ascii="仿宋" w:hAnsi="仿宋" w:eastAsia="仿宋" w:cs="Times New Roman"/>
          <w:sz w:val="32"/>
          <w:szCs w:val="32"/>
        </w:rPr>
        <w:t>数据和材料进行</w:t>
      </w:r>
      <w:r>
        <w:rPr>
          <w:rFonts w:hint="eastAsia" w:ascii="仿宋" w:hAnsi="仿宋" w:eastAsia="仿宋" w:cs="Times New Roman"/>
          <w:sz w:val="32"/>
          <w:szCs w:val="32"/>
          <w:lang w:eastAsia="zh-CN"/>
        </w:rPr>
        <w:t>会商</w:t>
      </w:r>
      <w:r>
        <w:rPr>
          <w:rFonts w:hint="eastAsia" w:ascii="仿宋" w:hAnsi="仿宋" w:eastAsia="仿宋" w:cs="Times New Roman"/>
          <w:sz w:val="32"/>
          <w:szCs w:val="32"/>
        </w:rPr>
        <w:t>审核</w:t>
      </w:r>
      <w:r>
        <w:rPr>
          <w:rFonts w:hint="eastAsia" w:ascii="仿宋" w:hAnsi="仿宋" w:eastAsia="仿宋" w:cs="Times New Roman"/>
          <w:sz w:val="32"/>
          <w:szCs w:val="32"/>
          <w:lang w:eastAsia="zh-CN"/>
        </w:rPr>
        <w:t>。</w:t>
      </w:r>
      <w:r>
        <w:rPr>
          <w:rFonts w:hint="eastAsia" w:ascii="仿宋" w:hAnsi="仿宋" w:eastAsia="仿宋" w:cs="Times New Roman"/>
          <w:sz w:val="32"/>
          <w:szCs w:val="32"/>
        </w:rPr>
        <w:t>按照考评计分办法计算分值，</w:t>
      </w:r>
      <w:r>
        <w:rPr>
          <w:rFonts w:hint="eastAsia" w:ascii="仿宋" w:hAnsi="仿宋" w:eastAsia="仿宋" w:cs="Times New Roman"/>
          <w:sz w:val="32"/>
          <w:szCs w:val="32"/>
          <w:lang w:eastAsia="zh-CN"/>
        </w:rPr>
        <w:t>对工业企业、工业园区进行考核评价</w:t>
      </w:r>
      <w:r>
        <w:rPr>
          <w:rFonts w:hint="eastAsia" w:ascii="仿宋" w:hAnsi="仿宋" w:eastAsia="仿宋" w:cs="Times New Roman"/>
          <w:sz w:val="32"/>
          <w:szCs w:val="32"/>
        </w:rPr>
        <w:t>。</w:t>
      </w:r>
    </w:p>
    <w:p>
      <w:pPr>
        <w:keepNext w:val="0"/>
        <w:keepLines w:val="0"/>
        <w:pageBreakBefore w:val="0"/>
        <w:widowControl w:val="0"/>
        <w:tabs>
          <w:tab w:val="left" w:pos="1695"/>
        </w:tab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Times New Roman"/>
          <w:sz w:val="32"/>
          <w:szCs w:val="32"/>
        </w:rPr>
      </w:pPr>
      <w:r>
        <w:rPr>
          <w:rFonts w:hint="eastAsia" w:ascii="楷体" w:hAnsi="楷体" w:eastAsia="楷体" w:cs="楷体"/>
          <w:sz w:val="32"/>
          <w:szCs w:val="32"/>
          <w:lang w:eastAsia="zh-CN"/>
        </w:rPr>
        <w:t>（三）审定公布。</w:t>
      </w:r>
      <w:r>
        <w:rPr>
          <w:rFonts w:hint="eastAsia" w:ascii="仿宋" w:hAnsi="仿宋" w:eastAsia="仿宋" w:cs="Times New Roman"/>
          <w:sz w:val="32"/>
          <w:szCs w:val="32"/>
          <w:lang w:val="en-US" w:eastAsia="zh-CN"/>
        </w:rPr>
        <w:t>形成考评报告</w:t>
      </w:r>
      <w:r>
        <w:rPr>
          <w:rFonts w:hint="eastAsia" w:ascii="仿宋" w:hAnsi="仿宋" w:eastAsia="仿宋" w:cs="Times New Roman"/>
          <w:sz w:val="32"/>
          <w:szCs w:val="32"/>
        </w:rPr>
        <w:t>上报</w:t>
      </w:r>
      <w:r>
        <w:rPr>
          <w:rFonts w:hint="eastAsia" w:ascii="仿宋" w:hAnsi="仿宋" w:eastAsia="仿宋" w:cs="Times New Roman"/>
          <w:sz w:val="32"/>
          <w:szCs w:val="32"/>
          <w:lang w:eastAsia="zh-CN"/>
        </w:rPr>
        <w:t>市</w:t>
      </w:r>
      <w:r>
        <w:rPr>
          <w:rFonts w:hint="eastAsia" w:ascii="仿宋" w:hAnsi="仿宋" w:eastAsia="仿宋" w:cs="Times New Roman"/>
          <w:sz w:val="32"/>
          <w:szCs w:val="32"/>
        </w:rPr>
        <w:t>政府</w:t>
      </w:r>
      <w:r>
        <w:rPr>
          <w:rFonts w:hint="eastAsia" w:ascii="仿宋" w:hAnsi="仿宋" w:eastAsia="仿宋" w:cs="Times New Roman"/>
          <w:sz w:val="32"/>
          <w:szCs w:val="32"/>
          <w:lang w:val="en-US" w:eastAsia="zh-CN"/>
        </w:rPr>
        <w:t>审定。考核评价结果面向社会</w:t>
      </w:r>
      <w:r>
        <w:rPr>
          <w:rFonts w:hint="eastAsia" w:ascii="仿宋" w:hAnsi="仿宋" w:eastAsia="仿宋" w:cs="Times New Roman"/>
          <w:sz w:val="32"/>
          <w:szCs w:val="32"/>
          <w:lang w:eastAsia="zh-CN"/>
        </w:rPr>
        <w:t>公布</w:t>
      </w:r>
      <w:r>
        <w:rPr>
          <w:rFonts w:hint="eastAsia" w:ascii="仿宋" w:hAnsi="仿宋"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Times New Roman"/>
          <w:sz w:val="32"/>
          <w:szCs w:val="32"/>
          <w:lang w:eastAsia="zh-CN"/>
        </w:rPr>
      </w:pPr>
      <w:r>
        <w:rPr>
          <w:rFonts w:hint="eastAsia" w:ascii="黑体" w:hAnsi="黑体" w:eastAsia="黑体" w:cs="黑体"/>
          <w:b w:val="0"/>
          <w:bCs w:val="0"/>
          <w:color w:val="auto"/>
          <w:kern w:val="2"/>
          <w:sz w:val="32"/>
          <w:szCs w:val="32"/>
          <w:lang w:val="en-US" w:eastAsia="zh-CN" w:bidi="ar-SA"/>
        </w:rPr>
        <w:t xml:space="preserve">第十六条  </w:t>
      </w:r>
      <w:r>
        <w:rPr>
          <w:rFonts w:hint="eastAsia" w:ascii="仿宋" w:hAnsi="仿宋" w:eastAsia="仿宋" w:cs="Times New Roman"/>
          <w:sz w:val="32"/>
          <w:szCs w:val="32"/>
          <w:lang w:val="en-US" w:eastAsia="zh-CN"/>
        </w:rPr>
        <w:t>指标数据中</w:t>
      </w:r>
      <w:r>
        <w:rPr>
          <w:rFonts w:hint="eastAsia" w:ascii="仿宋" w:hAnsi="仿宋" w:eastAsia="仿宋" w:cs="Times New Roman"/>
          <w:sz w:val="32"/>
          <w:szCs w:val="32"/>
        </w:rPr>
        <w:t>规上工业增加值</w:t>
      </w:r>
      <w:r>
        <w:rPr>
          <w:rFonts w:hint="eastAsia" w:ascii="仿宋" w:hAnsi="仿宋" w:eastAsia="仿宋" w:cs="Times New Roman"/>
          <w:sz w:val="32"/>
          <w:szCs w:val="32"/>
          <w:lang w:eastAsia="zh-CN"/>
        </w:rPr>
        <w:t>、综合能耗、年平均职工人数、</w:t>
      </w:r>
      <w:r>
        <w:rPr>
          <w:rFonts w:hint="eastAsia" w:ascii="仿宋" w:hAnsi="仿宋" w:eastAsia="仿宋" w:cs="仿宋"/>
          <w:sz w:val="32"/>
          <w:szCs w:val="32"/>
          <w:lang w:val="en-US" w:eastAsia="zh-CN"/>
        </w:rPr>
        <w:t>R&amp;D经费支出占主营业务收入</w:t>
      </w:r>
      <w:r>
        <w:rPr>
          <w:rFonts w:hint="eastAsia" w:ascii="仿宋" w:hAnsi="仿宋" w:eastAsia="仿宋" w:cs="Times New Roman"/>
          <w:sz w:val="32"/>
          <w:szCs w:val="32"/>
          <w:lang w:eastAsia="zh-CN"/>
        </w:rPr>
        <w:t>、</w:t>
      </w:r>
      <w:r>
        <w:rPr>
          <w:rFonts w:hint="eastAsia" w:ascii="仿宋" w:hAnsi="仿宋" w:eastAsia="仿宋" w:cs="Times New Roman"/>
          <w:sz w:val="32"/>
          <w:szCs w:val="32"/>
        </w:rPr>
        <w:t>工业固定资产投资</w:t>
      </w:r>
      <w:r>
        <w:rPr>
          <w:rFonts w:hint="eastAsia" w:ascii="仿宋" w:hAnsi="仿宋" w:eastAsia="仿宋" w:cs="Times New Roman"/>
          <w:sz w:val="32"/>
          <w:szCs w:val="32"/>
          <w:lang w:eastAsia="zh-CN"/>
        </w:rPr>
        <w:t>额等指标由市统计局提供；</w:t>
      </w:r>
      <w:r>
        <w:rPr>
          <w:rFonts w:hint="eastAsia" w:ascii="仿宋" w:hAnsi="仿宋" w:eastAsia="仿宋" w:cs="Times New Roman"/>
          <w:sz w:val="32"/>
          <w:szCs w:val="32"/>
        </w:rPr>
        <w:t>税收</w:t>
      </w:r>
      <w:r>
        <w:rPr>
          <w:rFonts w:hint="eastAsia" w:ascii="仿宋" w:hAnsi="仿宋" w:eastAsia="仿宋" w:cs="Times New Roman"/>
          <w:sz w:val="32"/>
          <w:szCs w:val="32"/>
          <w:lang w:eastAsia="zh-CN"/>
        </w:rPr>
        <w:t>指标数据由市税务局提供；</w:t>
      </w:r>
      <w:r>
        <w:rPr>
          <w:rFonts w:hint="eastAsia" w:ascii="仿宋" w:hAnsi="仿宋" w:eastAsia="仿宋" w:cs="Times New Roman"/>
          <w:sz w:val="32"/>
          <w:szCs w:val="32"/>
          <w:lang w:val="en-US" w:eastAsia="zh-CN"/>
        </w:rPr>
        <w:t>用地</w:t>
      </w:r>
      <w:r>
        <w:rPr>
          <w:rFonts w:hint="eastAsia" w:ascii="仿宋" w:hAnsi="仿宋" w:eastAsia="仿宋" w:cs="Times New Roman"/>
          <w:sz w:val="32"/>
          <w:szCs w:val="32"/>
          <w:lang w:eastAsia="zh-CN"/>
        </w:rPr>
        <w:t>面积数据由市自然资源局提供；污染物排放量指标数据由市生态环境局提供。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76" w:beforeLines="30" w:beforeAutospacing="0" w:after="176" w:afterLines="30" w:afterAutospacing="0" w:line="240" w:lineRule="auto"/>
        <w:ind w:right="0"/>
        <w:jc w:val="center"/>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第五章  附则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 w:hAnsi="仿宋" w:eastAsia="仿宋" w:cs="仿宋"/>
          <w:sz w:val="32"/>
          <w:szCs w:val="32"/>
          <w:highlight w:val="none"/>
          <w:lang w:eastAsia="zh-CN"/>
        </w:rPr>
      </w:pPr>
      <w:r>
        <w:rPr>
          <w:rFonts w:hint="eastAsia" w:ascii="黑体" w:hAnsi="黑体" w:eastAsia="黑体" w:cs="黑体"/>
          <w:b w:val="0"/>
          <w:bCs w:val="0"/>
          <w:color w:val="auto"/>
          <w:kern w:val="2"/>
          <w:sz w:val="32"/>
          <w:szCs w:val="32"/>
          <w:lang w:val="en-US" w:eastAsia="zh-CN" w:bidi="ar-SA"/>
        </w:rPr>
        <w:t xml:space="preserve">第十七条  </w:t>
      </w:r>
      <w:r>
        <w:rPr>
          <w:rFonts w:hint="eastAsia" w:ascii="仿宋" w:hAnsi="仿宋" w:eastAsia="仿宋" w:cs="仿宋"/>
          <w:sz w:val="32"/>
          <w:szCs w:val="32"/>
          <w:highlight w:val="none"/>
        </w:rPr>
        <w:t>本办法</w:t>
      </w:r>
      <w:r>
        <w:rPr>
          <w:rFonts w:hint="eastAsia" w:ascii="仿宋" w:hAnsi="仿宋" w:eastAsia="仿宋" w:cs="仿宋"/>
          <w:sz w:val="32"/>
          <w:szCs w:val="32"/>
          <w:highlight w:val="none"/>
          <w:lang w:eastAsia="zh-CN"/>
        </w:rPr>
        <w:t>由市工业和信息化局</w:t>
      </w:r>
      <w:r>
        <w:rPr>
          <w:rFonts w:hint="eastAsia" w:ascii="仿宋" w:hAnsi="仿宋" w:eastAsia="仿宋" w:cs="仿宋"/>
          <w:sz w:val="32"/>
          <w:szCs w:val="32"/>
          <w:highlight w:val="none"/>
          <w:lang w:val="en-US" w:eastAsia="zh-CN"/>
        </w:rPr>
        <w:t>负责</w:t>
      </w:r>
      <w:r>
        <w:rPr>
          <w:rFonts w:hint="eastAsia" w:ascii="仿宋" w:hAnsi="仿宋" w:eastAsia="仿宋" w:cs="仿宋"/>
          <w:sz w:val="32"/>
          <w:szCs w:val="32"/>
          <w:highlight w:val="none"/>
          <w:lang w:eastAsia="zh-CN"/>
        </w:rPr>
        <w:t>解释。</w:t>
      </w:r>
    </w:p>
    <w:p>
      <w:pPr>
        <w:pStyle w:val="2"/>
        <w:ind w:firstLine="640" w:firstLineChars="200"/>
        <w:rPr>
          <w:rFonts w:hint="eastAsia"/>
          <w:lang w:val="en-US" w:eastAsia="zh-CN"/>
        </w:rPr>
      </w:pPr>
      <w:r>
        <w:rPr>
          <w:rFonts w:hint="eastAsia" w:ascii="黑体" w:hAnsi="黑体" w:eastAsia="黑体" w:cs="黑体"/>
          <w:b w:val="0"/>
          <w:bCs w:val="0"/>
          <w:color w:val="auto"/>
          <w:kern w:val="2"/>
          <w:sz w:val="32"/>
          <w:szCs w:val="32"/>
          <w:lang w:val="en-US" w:eastAsia="zh-CN" w:bidi="ar-SA"/>
        </w:rPr>
        <w:t>第十</w:t>
      </w:r>
      <w:r>
        <w:rPr>
          <w:rFonts w:hint="eastAsia" w:hAnsi="黑体" w:cs="黑体"/>
          <w:b w:val="0"/>
          <w:bCs w:val="0"/>
          <w:color w:val="auto"/>
          <w:kern w:val="2"/>
          <w:sz w:val="32"/>
          <w:szCs w:val="32"/>
          <w:lang w:val="en-US" w:eastAsia="zh-CN" w:bidi="ar-SA"/>
        </w:rPr>
        <w:t>八</w:t>
      </w:r>
      <w:r>
        <w:rPr>
          <w:rFonts w:hint="eastAsia" w:ascii="黑体" w:hAnsi="黑体" w:eastAsia="黑体" w:cs="黑体"/>
          <w:b w:val="0"/>
          <w:bCs w:val="0"/>
          <w:color w:val="auto"/>
          <w:kern w:val="2"/>
          <w:sz w:val="32"/>
          <w:szCs w:val="32"/>
          <w:lang w:val="en-US" w:eastAsia="zh-CN" w:bidi="ar-SA"/>
        </w:rPr>
        <w:t xml:space="preserve">条  </w:t>
      </w:r>
      <w:r>
        <w:rPr>
          <w:rFonts w:hint="eastAsia" w:ascii="仿宋" w:hAnsi="仿宋" w:eastAsia="仿宋" w:cs="仿宋"/>
          <w:b w:val="0"/>
          <w:bCs w:val="0"/>
          <w:color w:val="auto"/>
          <w:kern w:val="0"/>
          <w:sz w:val="32"/>
          <w:szCs w:val="32"/>
          <w:highlight w:val="none"/>
          <w:lang w:val="en-US" w:eastAsia="zh-CN" w:bidi="ar-SA"/>
        </w:rPr>
        <w:t>本办法</w:t>
      </w:r>
      <w:r>
        <w:rPr>
          <w:rFonts w:hint="eastAsia" w:ascii="仿宋" w:hAnsi="仿宋" w:eastAsia="仿宋" w:cs="仿宋"/>
          <w:sz w:val="32"/>
          <w:szCs w:val="32"/>
          <w:highlight w:val="none"/>
        </w:rPr>
        <w:t>自</w:t>
      </w:r>
      <w:r>
        <w:rPr>
          <w:rFonts w:hint="eastAsia" w:ascii="仿宋" w:hAnsi="仿宋" w:eastAsia="仿宋" w:cs="仿宋"/>
          <w:sz w:val="32"/>
          <w:szCs w:val="32"/>
          <w:highlight w:val="none"/>
          <w:lang w:val="en-US" w:eastAsia="zh-CN"/>
        </w:rPr>
        <w:t>发布之日</w:t>
      </w:r>
      <w:r>
        <w:rPr>
          <w:rFonts w:hint="eastAsia" w:ascii="仿宋" w:hAnsi="仿宋" w:eastAsia="仿宋" w:cs="仿宋"/>
          <w:sz w:val="32"/>
          <w:szCs w:val="32"/>
          <w:highlight w:val="none"/>
        </w:rPr>
        <w:t>起</w:t>
      </w:r>
      <w:r>
        <w:rPr>
          <w:rFonts w:hint="eastAsia" w:ascii="仿宋" w:hAnsi="仿宋" w:eastAsia="仿宋" w:cs="仿宋"/>
          <w:sz w:val="32"/>
          <w:szCs w:val="32"/>
          <w:highlight w:val="none"/>
          <w:lang w:eastAsia="zh-CN"/>
        </w:rPr>
        <w:t>实施，今后根据国家和自治区有关规定适时修订。</w:t>
      </w:r>
    </w:p>
    <w:p>
      <w:pPr>
        <w:pStyle w:val="2"/>
        <w:rPr>
          <w:rFonts w:hint="default" w:ascii="仿宋" w:hAnsi="仿宋" w:eastAsia="仿宋" w:cs="仿宋"/>
          <w:color w:val="000000"/>
          <w:kern w:val="2"/>
          <w:sz w:val="32"/>
          <w:szCs w:val="32"/>
          <w:lang w:val="en-US" w:eastAsia="zh-CN" w:bidi="ar-SA"/>
        </w:rPr>
      </w:pPr>
    </w:p>
    <w:sectPr>
      <w:footerReference r:id="rId3" w:type="default"/>
      <w:pgSz w:w="11906" w:h="16838"/>
      <w:pgMar w:top="2098" w:right="1474" w:bottom="1984" w:left="1474" w:header="851" w:footer="1446" w:gutter="0"/>
      <w:cols w:space="0" w:num="1"/>
      <w:titlePg/>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文泉驿微米黑"/>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文泉驿微米黑"/>
    <w:panose1 w:val="02010609030101010101"/>
    <w:charset w:val="86"/>
    <w:family w:val="modern"/>
    <w:pitch w:val="default"/>
    <w:sig w:usb0="00000000" w:usb1="00000000" w:usb2="00000000" w:usb3="00000000" w:csb0="00040000" w:csb1="00000000"/>
  </w:font>
  <w:font w:name="方正小标宋简体">
    <w:altName w:val="Noto Serif CJK JP"/>
    <w:panose1 w:val="02000000000000000000"/>
    <w:charset w:val="86"/>
    <w:family w:val="auto"/>
    <w:pitch w:val="default"/>
    <w:sig w:usb0="00000000" w:usb1="00000000" w:usb2="00000012" w:usb3="00000000" w:csb0="00040001" w:csb1="00000000"/>
  </w:font>
  <w:font w:name="仿宋">
    <w:altName w:val="文泉驿微米黑"/>
    <w:panose1 w:val="02010609060101010101"/>
    <w:charset w:val="86"/>
    <w:family w:val="auto"/>
    <w:pitch w:val="default"/>
    <w:sig w:usb0="00000000" w:usb1="00000000" w:usb2="00000016" w:usb3="00000000" w:csb0="00040001" w:csb1="00000000"/>
  </w:font>
  <w:font w:name="楷体">
    <w:altName w:val="文泉驿微米黑"/>
    <w:panose1 w:val="02010609060101010101"/>
    <w:charset w:val="86"/>
    <w:family w:val="auto"/>
    <w:pitch w:val="default"/>
    <w:sig w:usb0="00000000" w:usb1="00000000" w:usb2="00000016" w:usb3="00000000" w:csb0="00040001" w:csb1="00000000"/>
  </w:font>
  <w:font w:name="汉仪细圆B5">
    <w:altName w:val="AR PL UKai CN"/>
    <w:panose1 w:val="00000000000000000000"/>
    <w:charset w:val="00"/>
    <w:family w:val="auto"/>
    <w:pitch w:val="default"/>
    <w:sig w:usb0="00000000" w:usb1="00000000" w:usb2="00000000" w:usb3="00000000" w:csb0="00040001" w:csb1="00000000"/>
  </w:font>
  <w:font w:name="CESI楷体-GB2312">
    <w:panose1 w:val="02000500000000000000"/>
    <w:charset w:val="86"/>
    <w:family w:val="auto"/>
    <w:pitch w:val="default"/>
    <w:sig w:usb0="800002BF" w:usb1="184F6CF8" w:usb2="00000012" w:usb3="00000000" w:csb0="0004000F" w:csb1="00000000"/>
  </w:font>
  <w:font w:name="文泉驿微米黑">
    <w:panose1 w:val="020B0606030804020204"/>
    <w:charset w:val="86"/>
    <w:family w:val="auto"/>
    <w:pitch w:val="default"/>
    <w:sig w:usb0="E10002EF" w:usb1="6BDFFCFB" w:usb2="00800036" w:usb3="00000000" w:csb0="603E019F" w:csb1="DFD70000"/>
  </w:font>
  <w:font w:name="Noto Serif CJK JP">
    <w:panose1 w:val="02020400000000000000"/>
    <w:charset w:val="86"/>
    <w:family w:val="auto"/>
    <w:pitch w:val="default"/>
    <w:sig w:usb0="3000008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 w:name="AR PL UKai CN">
    <w:panose1 w:val="02000503000000000000"/>
    <w:charset w:val="86"/>
    <w:family w:val="auto"/>
    <w:pitch w:val="default"/>
    <w:sig w:usb0="A00002FF" w:usb1="3ACFFDFF" w:usb2="00000036" w:usb3="00000000" w:csb0="2016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2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FED56F2"/>
    <w:rsid w:val="1FFF126B"/>
    <w:rsid w:val="2FBFF721"/>
    <w:rsid w:val="375F7E1C"/>
    <w:rsid w:val="375FA291"/>
    <w:rsid w:val="3BCC0183"/>
    <w:rsid w:val="3DB765CF"/>
    <w:rsid w:val="3FBDBB8D"/>
    <w:rsid w:val="4A1947CF"/>
    <w:rsid w:val="4FED9D3E"/>
    <w:rsid w:val="54FF497D"/>
    <w:rsid w:val="57BD00FA"/>
    <w:rsid w:val="59F2D43C"/>
    <w:rsid w:val="5C3BE353"/>
    <w:rsid w:val="5FCAC52A"/>
    <w:rsid w:val="63FE39BE"/>
    <w:rsid w:val="67EECDF6"/>
    <w:rsid w:val="6FFF186F"/>
    <w:rsid w:val="729FE347"/>
    <w:rsid w:val="77FE46B3"/>
    <w:rsid w:val="77FF8B5C"/>
    <w:rsid w:val="7B7EC77C"/>
    <w:rsid w:val="7BEB87B0"/>
    <w:rsid w:val="7C17928D"/>
    <w:rsid w:val="7CAE7A46"/>
    <w:rsid w:val="7D8F4886"/>
    <w:rsid w:val="7F2B4262"/>
    <w:rsid w:val="7F37132B"/>
    <w:rsid w:val="7F5C8AA8"/>
    <w:rsid w:val="7F7CF800"/>
    <w:rsid w:val="7FDD29B6"/>
    <w:rsid w:val="7FFBE5B0"/>
    <w:rsid w:val="7FFF4795"/>
    <w:rsid w:val="9EF64C84"/>
    <w:rsid w:val="AFC71DEA"/>
    <w:rsid w:val="AFDE1386"/>
    <w:rsid w:val="B7BF59CE"/>
    <w:rsid w:val="B7F61D97"/>
    <w:rsid w:val="BEF6D5DE"/>
    <w:rsid w:val="D5FF0CC0"/>
    <w:rsid w:val="DB7FC9B5"/>
    <w:rsid w:val="DBFE987D"/>
    <w:rsid w:val="DDDFE5E9"/>
    <w:rsid w:val="DEDB766D"/>
    <w:rsid w:val="DF2F84D0"/>
    <w:rsid w:val="DF43BC69"/>
    <w:rsid w:val="E77F4E91"/>
    <w:rsid w:val="EFFA4A6F"/>
    <w:rsid w:val="F3761A8C"/>
    <w:rsid w:val="F77EEFCB"/>
    <w:rsid w:val="F79F84C7"/>
    <w:rsid w:val="F9CF6932"/>
    <w:rsid w:val="FAF7356B"/>
    <w:rsid w:val="FB4FE4E3"/>
    <w:rsid w:val="FCEE5FF6"/>
    <w:rsid w:val="FD7D6AE0"/>
    <w:rsid w:val="FE7FCACF"/>
    <w:rsid w:val="FFB7A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3">
    <w:name w:val="Body Text Indent 2"/>
    <w:basedOn w:val="1"/>
    <w:semiHidden/>
    <w:qFormat/>
    <w:uiPriority w:val="0"/>
    <w:pPr>
      <w:ind w:firstLine="630"/>
    </w:pPr>
    <w:rPr>
      <w:rFonts w:ascii="仿宋_GB2312" w:eastAsia="仿宋_GB2312"/>
      <w:sz w:val="32"/>
      <w:szCs w:val="20"/>
    </w:rPr>
  </w:style>
  <w:style w:type="paragraph" w:styleId="4">
    <w:name w:val="footer"/>
    <w:basedOn w:val="1"/>
    <w:semiHidden/>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page number"/>
    <w:basedOn w:val="8"/>
    <w:semiHidden/>
    <w:qFormat/>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2018-07-12T15:11:00Z</dcterms:created>
  <dc:creator>d</dc:creator>
  <cp:lastModifiedBy>user</cp:lastModifiedBy>
  <dcterms:modified xsi:type="dcterms:W3CDTF">2022-08-12T09:26:15Z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