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sz w:val="36"/>
          <w:szCs w:val="36"/>
        </w:rPr>
      </w:pPr>
    </w:p>
    <w:p>
      <w:pPr>
        <w:bidi w:val="0"/>
        <w:rPr>
          <w:rFonts w:hint="eastAsia"/>
          <w:sz w:val="36"/>
          <w:szCs w:val="36"/>
        </w:rPr>
      </w:pPr>
    </w:p>
    <w:p>
      <w:pPr>
        <w:bidi w:val="0"/>
        <w:rPr>
          <w:rFonts w:hint="eastAsia"/>
          <w:sz w:val="36"/>
          <w:szCs w:val="36"/>
        </w:rPr>
      </w:pPr>
    </w:p>
    <w:p>
      <w:pPr>
        <w:bidi w:val="0"/>
        <w:jc w:val="center"/>
        <w:rPr>
          <w:rFonts w:hint="eastAsia" w:ascii="宋体" w:hAnsi="宋体"/>
          <w:b/>
          <w:color w:val="000000"/>
          <w:sz w:val="44"/>
          <w:szCs w:val="44"/>
          <w:lang w:val="en-US" w:eastAsia="zh-CN"/>
        </w:rPr>
      </w:pPr>
      <w:r>
        <w:rPr>
          <w:rFonts w:hint="eastAsia" w:ascii="宋体" w:hAnsi="宋体" w:cs="仿宋"/>
          <w:b/>
          <w:bCs/>
          <w:sz w:val="44"/>
          <w:szCs w:val="44"/>
          <w:lang w:val="en-US" w:eastAsia="zh-CN"/>
        </w:rPr>
        <w:t>2023年</w:t>
      </w:r>
      <w:r>
        <w:rPr>
          <w:rFonts w:hint="eastAsia" w:ascii="宋体" w:hAnsi="宋体" w:cs="仿宋"/>
          <w:b/>
          <w:bCs/>
          <w:sz w:val="44"/>
          <w:szCs w:val="44"/>
          <w:lang w:eastAsia="zh-CN"/>
        </w:rPr>
        <w:t>上半年</w:t>
      </w:r>
      <w:r>
        <w:rPr>
          <w:rFonts w:hint="eastAsia" w:ascii="宋体" w:hAnsi="宋体"/>
          <w:b/>
          <w:color w:val="000000"/>
          <w:sz w:val="44"/>
          <w:szCs w:val="44"/>
        </w:rPr>
        <w:t>供电可靠性</w:t>
      </w:r>
      <w:r>
        <w:rPr>
          <w:rFonts w:hint="eastAsia" w:ascii="宋体" w:hAnsi="宋体"/>
          <w:b/>
          <w:color w:val="000000"/>
          <w:sz w:val="44"/>
          <w:szCs w:val="44"/>
          <w:lang w:val="en-US" w:eastAsia="zh-CN"/>
        </w:rPr>
        <w:t>分析报告</w:t>
      </w:r>
    </w:p>
    <w:p>
      <w:pPr>
        <w:pStyle w:val="12"/>
        <w:rPr>
          <w:rFonts w:hint="eastAsia" w:ascii="宋体" w:hAnsi="宋体"/>
          <w:b/>
          <w:color w:val="000000"/>
          <w:sz w:val="36"/>
          <w:szCs w:val="36"/>
          <w:lang w:val="en-US" w:eastAsia="zh-CN"/>
        </w:rPr>
      </w:pPr>
    </w:p>
    <w:p>
      <w:pPr>
        <w:rPr>
          <w:rFonts w:hint="eastAsia" w:ascii="宋体" w:hAnsi="宋体"/>
          <w:b/>
          <w:color w:val="000000"/>
          <w:sz w:val="36"/>
          <w:szCs w:val="36"/>
          <w:lang w:val="en-US" w:eastAsia="zh-CN"/>
        </w:rPr>
      </w:pPr>
    </w:p>
    <w:p>
      <w:pPr>
        <w:pStyle w:val="12"/>
        <w:rPr>
          <w:rFonts w:hint="eastAsia" w:ascii="宋体" w:hAnsi="宋体"/>
          <w:b/>
          <w:color w:val="000000"/>
          <w:sz w:val="36"/>
          <w:szCs w:val="36"/>
          <w:lang w:val="en-US" w:eastAsia="zh-CN"/>
        </w:rPr>
      </w:pPr>
    </w:p>
    <w:p>
      <w:pPr>
        <w:rPr>
          <w:rFonts w:hint="default"/>
          <w:lang w:val="en-US"/>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olor w:val="000000"/>
          <w:sz w:val="32"/>
          <w:szCs w:val="32"/>
          <w:lang w:val="en-US" w:eastAsia="zh-CN"/>
        </w:rPr>
      </w:pPr>
      <w:r>
        <w:rPr>
          <w:rFonts w:hint="eastAsia" w:ascii="宋体" w:hAnsi="宋体"/>
          <w:color w:val="000000"/>
          <w:sz w:val="32"/>
          <w:szCs w:val="32"/>
        </w:rPr>
        <w:t>统计期限：</w:t>
      </w:r>
      <w:r>
        <w:rPr>
          <w:rFonts w:hint="eastAsia" w:ascii="宋体" w:hAnsi="宋体"/>
          <w:color w:val="000000"/>
          <w:sz w:val="32"/>
          <w:szCs w:val="32"/>
          <w:lang w:eastAsia="zh-CN"/>
        </w:rPr>
        <w:t>2023年</w:t>
      </w:r>
      <w:r>
        <w:rPr>
          <w:rFonts w:hint="eastAsia" w:ascii="宋体" w:hAnsi="宋体"/>
          <w:color w:val="000000"/>
          <w:sz w:val="32"/>
          <w:szCs w:val="32"/>
          <w:lang w:val="en-US" w:eastAsia="zh-CN"/>
        </w:rPr>
        <w:t>上半年</w:t>
      </w:r>
    </w:p>
    <w:p>
      <w:pPr>
        <w:spacing w:line="360" w:lineRule="auto"/>
        <w:jc w:val="left"/>
        <w:rPr>
          <w:rFonts w:hint="default" w:ascii="宋体" w:hAnsi="宋体"/>
          <w:color w:val="000000"/>
          <w:sz w:val="24"/>
          <w:szCs w:val="24"/>
          <w:lang w:val="en-US" w:eastAsia="zh-CN"/>
        </w:rPr>
      </w:pPr>
      <w:r>
        <w:rPr>
          <w:rFonts w:hint="eastAsia" w:ascii="宋体" w:hAnsi="宋体"/>
          <w:color w:val="000000"/>
          <w:sz w:val="32"/>
          <w:szCs w:val="32"/>
        </w:rPr>
        <w:t>地区特征：市中心+市区+城镇</w:t>
      </w:r>
      <w:r>
        <w:rPr>
          <w:rFonts w:hint="eastAsia" w:ascii="宋体" w:hAnsi="宋体"/>
          <w:color w:val="000000"/>
          <w:sz w:val="32"/>
          <w:szCs w:val="32"/>
          <w:lang w:val="en-US" w:eastAsia="zh-CN"/>
        </w:rPr>
        <w:t>+农村</w:t>
      </w:r>
    </w:p>
    <w:p>
      <w:pPr>
        <w:spacing w:line="360" w:lineRule="auto"/>
        <w:jc w:val="left"/>
        <w:rPr>
          <w:rFonts w:hint="eastAsia" w:ascii="宋体" w:hAnsi="宋体"/>
          <w:color w:val="000000"/>
          <w:sz w:val="32"/>
          <w:szCs w:val="32"/>
        </w:rPr>
      </w:pPr>
      <w:r>
        <w:rPr>
          <w:rFonts w:hint="eastAsia" w:ascii="宋体" w:hAnsi="宋体"/>
          <w:color w:val="000000"/>
          <w:sz w:val="32"/>
          <w:szCs w:val="32"/>
        </w:rPr>
        <w:t>线路性质：公用+专用</w:t>
      </w:r>
    </w:p>
    <w:p>
      <w:pPr>
        <w:spacing w:line="360" w:lineRule="auto"/>
        <w:jc w:val="left"/>
        <w:rPr>
          <w:rFonts w:hint="eastAsia" w:ascii="宋体" w:hAnsi="宋体"/>
          <w:color w:val="000000"/>
          <w:sz w:val="32"/>
          <w:szCs w:val="32"/>
          <w:lang w:val="en-US" w:eastAsia="zh-CN"/>
        </w:rPr>
      </w:pPr>
      <w:r>
        <w:rPr>
          <w:rFonts w:hint="eastAsia" w:ascii="宋体" w:hAnsi="宋体"/>
          <w:color w:val="000000"/>
          <w:sz w:val="32"/>
          <w:szCs w:val="32"/>
        </w:rPr>
        <w:t>电压等级：6+10+20</w:t>
      </w:r>
      <w:r>
        <w:rPr>
          <w:rFonts w:hint="eastAsia" w:ascii="宋体" w:hAnsi="宋体"/>
          <w:color w:val="000000"/>
          <w:sz w:val="32"/>
          <w:szCs w:val="32"/>
          <w:lang w:val="en-US" w:eastAsia="zh-CN"/>
        </w:rPr>
        <w:t>kV</w:t>
      </w:r>
    </w:p>
    <w:p>
      <w:pPr>
        <w:rPr>
          <w:rFonts w:hint="eastAsia" w:ascii="宋体" w:hAnsi="宋体" w:cs="Times New Roman"/>
          <w:color w:val="000000"/>
          <w:sz w:val="32"/>
          <w:szCs w:val="32"/>
          <w:lang w:val="en-US" w:eastAsia="zh-CN"/>
        </w:rPr>
      </w:pPr>
      <w:r>
        <w:rPr>
          <w:rFonts w:hint="eastAsia" w:ascii="宋体" w:hAnsi="宋体" w:cs="Times New Roman"/>
          <w:color w:val="000000"/>
          <w:sz w:val="32"/>
          <w:szCs w:val="32"/>
          <w:lang w:val="en-US" w:eastAsia="zh-CN"/>
        </w:rPr>
        <w:t>报告日期：2023年7月3日</w:t>
      </w:r>
      <w:r>
        <w:rPr>
          <w:rFonts w:hint="eastAsia" w:ascii="宋体" w:hAnsi="宋体" w:cs="Times New Roman"/>
          <w:color w:val="000000"/>
          <w:sz w:val="32"/>
          <w:szCs w:val="32"/>
          <w:lang w:val="en-US" w:eastAsia="zh-CN"/>
        </w:rPr>
        <w:br w:type="page"/>
      </w:r>
    </w:p>
    <w:p>
      <w:pPr>
        <w:pStyle w:val="12"/>
        <w:rPr>
          <w:rFonts w:hint="eastAsia"/>
          <w:lang w:val="en-US" w:eastAsia="zh-CN"/>
        </w:rPr>
      </w:pPr>
    </w:p>
    <w:p>
      <w:pPr>
        <w:pStyle w:val="12"/>
        <w:rPr>
          <w:rFonts w:hint="eastAsia"/>
          <w:highlight w:val="none"/>
        </w:rPr>
      </w:pP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rPr>
        <w:t>目</w:t>
      </w:r>
      <w:r>
        <w:rPr>
          <w:rFonts w:hint="eastAsia" w:ascii="宋体" w:hAnsi="宋体" w:cs="仿宋"/>
          <w:b/>
          <w:bCs/>
          <w:sz w:val="36"/>
          <w:szCs w:val="36"/>
          <w:highlight w:val="none"/>
          <w:lang w:val="en-US" w:eastAsia="zh-CN"/>
        </w:rPr>
        <w:t xml:space="preserve">           </w:t>
      </w:r>
      <w:r>
        <w:rPr>
          <w:rFonts w:hint="eastAsia" w:ascii="宋体" w:hAnsi="宋体" w:cs="仿宋"/>
          <w:b/>
          <w:bCs/>
          <w:sz w:val="36"/>
          <w:szCs w:val="36"/>
          <w:highlight w:val="none"/>
        </w:rPr>
        <w:t>录</w:t>
      </w:r>
    </w:p>
    <w:p>
      <w:pPr>
        <w:pStyle w:val="12"/>
        <w:rPr>
          <w:rFonts w:hint="eastAsia"/>
          <w:highlight w:val="none"/>
        </w:rPr>
      </w:pPr>
    </w:p>
    <w:p>
      <w:pPr>
        <w:pStyle w:val="24"/>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TOC \o "1-2" \h \u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_Toc21102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1  </w:t>
      </w:r>
      <w:r>
        <w:rPr>
          <w:rFonts w:hint="eastAsia" w:asciiTheme="minorEastAsia" w:hAnsiTheme="minorEastAsia" w:eastAsiaTheme="minorEastAsia" w:cstheme="minorEastAsia"/>
          <w:bCs/>
          <w:sz w:val="28"/>
          <w:szCs w:val="28"/>
          <w:highlight w:val="none"/>
          <w:lang w:val="en-US" w:eastAsia="zh-CN" w:bidi="ar-SA"/>
        </w:rPr>
        <w:t>指标整体情况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_Toc21102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4"/>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_Toc2824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2  </w:t>
      </w:r>
      <w:r>
        <w:rPr>
          <w:rFonts w:hint="eastAsia" w:asciiTheme="minorEastAsia" w:hAnsiTheme="minorEastAsia" w:eastAsiaTheme="minorEastAsia" w:cstheme="minorEastAsia"/>
          <w:bCs/>
          <w:sz w:val="28"/>
          <w:szCs w:val="28"/>
          <w:highlight w:val="none"/>
          <w:lang w:val="en-US" w:eastAsia="zh-CN" w:bidi="ar-SA"/>
        </w:rPr>
        <w:t>供电可靠性基础数据</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_Toc2824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4"/>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_Toc12023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 xml:space="preserve">3  </w:t>
      </w:r>
      <w:r>
        <w:rPr>
          <w:rFonts w:hint="eastAsia" w:asciiTheme="minorEastAsia" w:hAnsiTheme="minorEastAsia" w:eastAsiaTheme="minorEastAsia" w:cstheme="minorEastAsia"/>
          <w:bCs/>
          <w:sz w:val="28"/>
          <w:szCs w:val="28"/>
          <w:lang w:val="en-US" w:eastAsia="zh-CN" w:bidi="ar-SA"/>
        </w:rPr>
        <w:t>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_Toc12023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_Toc25635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3.1  责任原因指标情况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_Toc25635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_Toc803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3.2  预安排停电责任原因分析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_Toc803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5"/>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_Toc17992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kern w:val="2"/>
          <w:sz w:val="28"/>
          <w:szCs w:val="28"/>
          <w:lang w:val="en-US" w:eastAsia="zh-CN" w:bidi="ar-SA"/>
        </w:rPr>
        <w:t>3.3  故障停电责任原因分析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4"/>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_Toc18774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4  </w:t>
      </w:r>
      <w:r>
        <w:rPr>
          <w:rFonts w:hint="eastAsia" w:asciiTheme="minorEastAsia" w:hAnsiTheme="minorEastAsia" w:eastAsiaTheme="minorEastAsia" w:cstheme="minorEastAsia"/>
          <w:bCs/>
          <w:sz w:val="28"/>
          <w:szCs w:val="28"/>
          <w:highlight w:val="none"/>
          <w:lang w:val="en-US" w:eastAsia="zh-CN" w:bidi="ar-SA"/>
        </w:rPr>
        <w:t>不停电作业分析</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_Toc18774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24"/>
        <w:tabs>
          <w:tab w:val="right" w:leader="dot" w:pos="9072"/>
        </w:tabs>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kern w:val="2"/>
          <w:sz w:val="28"/>
          <w:szCs w:val="28"/>
          <w:highlight w:val="none"/>
          <w:lang w:val="en-US" w:eastAsia="zh-CN" w:bidi="ar-SA"/>
        </w:rPr>
        <w:fldChar w:fldCharType="begin"/>
      </w:r>
      <w:r>
        <w:rPr>
          <w:rFonts w:hint="eastAsia" w:asciiTheme="minorEastAsia" w:hAnsiTheme="minorEastAsia" w:eastAsiaTheme="minorEastAsia" w:cstheme="minorEastAsia"/>
          <w:kern w:val="2"/>
          <w:sz w:val="28"/>
          <w:szCs w:val="28"/>
          <w:highlight w:val="none"/>
          <w:lang w:val="en-US" w:eastAsia="zh-CN" w:bidi="ar-SA"/>
        </w:rPr>
        <w:instrText xml:space="preserve"> HYPERLINK \l _Toc5096 </w:instrText>
      </w:r>
      <w:r>
        <w:rPr>
          <w:rFonts w:hint="eastAsia" w:asciiTheme="minorEastAsia" w:hAnsiTheme="minorEastAsia" w:eastAsiaTheme="minorEastAsia" w:cstheme="minorEastAsia"/>
          <w:kern w:val="2"/>
          <w:sz w:val="28"/>
          <w:szCs w:val="28"/>
          <w:highlight w:val="none"/>
          <w:lang w:val="en-US" w:eastAsia="zh-CN" w:bidi="ar-SA"/>
        </w:rPr>
        <w:fldChar w:fldCharType="separate"/>
      </w:r>
      <w:r>
        <w:rPr>
          <w:rFonts w:hint="eastAsia" w:asciiTheme="minorEastAsia" w:hAnsiTheme="minorEastAsia" w:eastAsiaTheme="minorEastAsia" w:cstheme="minorEastAsia"/>
          <w:bCs/>
          <w:sz w:val="28"/>
          <w:szCs w:val="28"/>
          <w:lang w:val="en-US" w:eastAsia="zh-CN" w:bidi="ar-SA"/>
        </w:rPr>
        <w:t xml:space="preserve">5  </w:t>
      </w:r>
      <w:r>
        <w:rPr>
          <w:rFonts w:hint="eastAsia" w:asciiTheme="minorEastAsia" w:hAnsiTheme="minorEastAsia" w:eastAsiaTheme="minorEastAsia" w:cstheme="minorEastAsia"/>
          <w:bCs/>
          <w:sz w:val="28"/>
          <w:szCs w:val="28"/>
          <w:highlight w:val="none"/>
          <w:lang w:val="en-US" w:eastAsia="zh-CN" w:bidi="ar-SA"/>
        </w:rPr>
        <w:t>结论</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_Toc5096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kern w:val="2"/>
          <w:sz w:val="28"/>
          <w:szCs w:val="28"/>
          <w:highlight w:val="none"/>
          <w:lang w:val="en-US" w:eastAsia="zh-CN" w:bidi="ar-SA"/>
        </w:rPr>
        <w:fldChar w:fldCharType="end"/>
      </w:r>
    </w:p>
    <w:p>
      <w:pPr>
        <w:spacing w:line="360" w:lineRule="auto"/>
        <w:rPr>
          <w:rFonts w:hint="eastAsia" w:ascii="宋体" w:hAnsi="宋体" w:eastAsia="宋体" w:cs="宋体"/>
          <w:kern w:val="2"/>
          <w:szCs w:val="24"/>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fldChar w:fldCharType="end"/>
      </w:r>
    </w:p>
    <w:p>
      <w:pPr>
        <w:pStyle w:val="12"/>
        <w:rPr>
          <w:rFonts w:hint="eastAsia" w:ascii="宋体" w:hAnsi="宋体" w:eastAsia="宋体" w:cs="宋体"/>
          <w:kern w:val="2"/>
          <w:szCs w:val="24"/>
          <w:highlight w:val="none"/>
          <w:lang w:val="en-US" w:eastAsia="zh-CN" w:bidi="ar-SA"/>
        </w:rPr>
      </w:pPr>
    </w:p>
    <w:p>
      <w:pPr>
        <w:rPr>
          <w:highlight w:val="none"/>
        </w:rPr>
        <w:sectPr>
          <w:headerReference r:id="rId3" w:type="default"/>
          <w:footerReference r:id="rId4" w:type="default"/>
          <w:pgSz w:w="11906" w:h="16838"/>
          <w:pgMar w:top="1814" w:right="1417" w:bottom="1559" w:left="1417" w:header="850" w:footer="992" w:gutter="0"/>
          <w:pgNumType w:fmt="decimal"/>
          <w:cols w:space="720" w:num="1"/>
          <w:docGrid w:type="lines" w:linePitch="312" w:charSpace="0"/>
        </w:sectPr>
      </w:pPr>
    </w:p>
    <w:p>
      <w:pPr>
        <w:spacing w:line="360" w:lineRule="auto"/>
        <w:jc w:val="center"/>
        <w:rPr>
          <w:rFonts w:hint="eastAsia" w:ascii="宋体" w:hAnsi="宋体" w:eastAsia="宋体" w:cs="Times New Roman"/>
          <w:b/>
          <w:bCs/>
          <w:sz w:val="28"/>
          <w:szCs w:val="28"/>
          <w:highlight w:val="none"/>
          <w:lang w:val="en-US" w:eastAsia="zh-CN" w:bidi="ar-SA"/>
        </w:rPr>
      </w:pPr>
      <w:bookmarkStart w:id="0" w:name="_Toc503299623"/>
    </w:p>
    <w:p>
      <w:pPr>
        <w:spacing w:line="360" w:lineRule="auto"/>
        <w:jc w:val="center"/>
        <w:rPr>
          <w:rFonts w:hint="eastAsia" w:ascii="宋体" w:hAnsi="宋体" w:cs="仿宋"/>
          <w:b/>
          <w:bCs/>
          <w:sz w:val="36"/>
          <w:szCs w:val="36"/>
          <w:highlight w:val="none"/>
          <w:lang w:val="en-US" w:eastAsia="zh-CN"/>
        </w:rPr>
      </w:pPr>
      <w:r>
        <w:rPr>
          <w:rFonts w:hint="eastAsia" w:ascii="宋体" w:hAnsi="宋体" w:cs="Times New Roman"/>
          <w:b/>
          <w:color w:val="000000"/>
          <w:sz w:val="36"/>
          <w:szCs w:val="36"/>
          <w:highlight w:val="none"/>
          <w:lang w:val="en-US" w:eastAsia="zh-CN"/>
        </w:rPr>
        <w:t>2023年包头供电公司</w:t>
      </w:r>
    </w:p>
    <w:p>
      <w:pPr>
        <w:spacing w:line="360" w:lineRule="auto"/>
        <w:jc w:val="center"/>
        <w:rPr>
          <w:rFonts w:hint="eastAsia" w:ascii="宋体" w:hAnsi="宋体" w:cs="仿宋"/>
          <w:b/>
          <w:bCs/>
          <w:sz w:val="36"/>
          <w:szCs w:val="36"/>
          <w:highlight w:val="none"/>
        </w:rPr>
      </w:pPr>
      <w:r>
        <w:rPr>
          <w:rFonts w:hint="eastAsia" w:ascii="宋体" w:hAnsi="宋体" w:cs="仿宋"/>
          <w:b/>
          <w:bCs/>
          <w:sz w:val="36"/>
          <w:szCs w:val="36"/>
          <w:highlight w:val="none"/>
          <w:lang w:eastAsia="zh-CN"/>
        </w:rPr>
        <w:t>上半年</w:t>
      </w:r>
      <w:r>
        <w:rPr>
          <w:rFonts w:hint="eastAsia" w:ascii="宋体" w:hAnsi="宋体" w:cs="仿宋"/>
          <w:b/>
          <w:bCs/>
          <w:sz w:val="36"/>
          <w:szCs w:val="36"/>
          <w:highlight w:val="none"/>
        </w:rPr>
        <w:t>供电可靠性分析报告</w:t>
      </w:r>
    </w:p>
    <w:p>
      <w:pPr>
        <w:pStyle w:val="12"/>
        <w:rPr>
          <w:rFonts w:hint="eastAsia"/>
          <w:highlight w:val="none"/>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cs="Times New Roman"/>
          <w:b/>
          <w:bCs/>
          <w:sz w:val="28"/>
          <w:szCs w:val="28"/>
          <w:highlight w:val="none"/>
          <w:lang w:val="en-US" w:eastAsia="zh-CN" w:bidi="ar-SA"/>
        </w:rPr>
        <w:t xml:space="preserve"> </w:t>
      </w:r>
      <w:bookmarkStart w:id="1" w:name="_Toc21102"/>
      <w:bookmarkStart w:id="2" w:name="_Toc28521"/>
      <w:r>
        <w:rPr>
          <w:rFonts w:hint="eastAsia" w:ascii="宋体" w:hAnsi="宋体" w:eastAsia="宋体" w:cs="Times New Roman"/>
          <w:b/>
          <w:bCs/>
          <w:sz w:val="28"/>
          <w:szCs w:val="28"/>
          <w:highlight w:val="none"/>
          <w:lang w:val="en-US" w:eastAsia="zh-CN" w:bidi="ar-SA"/>
        </w:rPr>
        <w:t>指标整体情况</w:t>
      </w:r>
      <w:bookmarkEnd w:id="0"/>
      <w:bookmarkEnd w:id="1"/>
      <w:bookmarkEnd w:id="2"/>
      <w:r>
        <w:rPr>
          <w:rFonts w:hint="eastAsia" w:ascii="宋体" w:hAnsi="宋体" w:eastAsia="宋体" w:cs="Times New Roman"/>
          <w:b/>
          <w:bCs/>
          <w:sz w:val="28"/>
          <w:szCs w:val="28"/>
          <w:highlight w:val="none"/>
          <w:lang w:val="en-US" w:eastAsia="zh-CN" w:bidi="ar-SA"/>
        </w:rPr>
        <w:t xml:space="preserve"> 　</w:t>
      </w:r>
    </w:p>
    <w:p>
      <w:pPr>
        <w:spacing w:line="312" w:lineRule="auto"/>
        <w:ind w:firstLine="470" w:firstLineChars="196"/>
        <w:rPr>
          <w:rFonts w:hint="eastAsia" w:ascii="宋体" w:hAnsi="宋体" w:cs="仿宋"/>
          <w:color w:val="auto"/>
          <w:kern w:val="0"/>
          <w:sz w:val="24"/>
          <w:szCs w:val="24"/>
          <w:highlight w:val="none"/>
          <w:lang w:val="en-US" w:eastAsia="zh-CN"/>
        </w:rPr>
      </w:pPr>
      <w:r>
        <w:rPr>
          <w:rFonts w:hint="eastAsia" w:ascii="宋体" w:hAnsi="宋体" w:cs="仿宋"/>
          <w:color w:val="auto"/>
          <w:kern w:val="0"/>
          <w:sz w:val="24"/>
          <w:szCs w:val="24"/>
          <w:highlight w:val="none"/>
          <w:lang w:val="en-US" w:eastAsia="zh-CN"/>
        </w:rPr>
        <w:t>2023年</w:t>
      </w:r>
      <w:r>
        <w:rPr>
          <w:rFonts w:hint="eastAsia" w:ascii="宋体" w:hAnsi="宋体" w:cs="仿宋"/>
          <w:color w:val="auto"/>
          <w:kern w:val="0"/>
          <w:sz w:val="24"/>
          <w:szCs w:val="24"/>
          <w:highlight w:val="none"/>
          <w:lang w:eastAsia="zh-CN"/>
        </w:rPr>
        <w:t>上半年包头</w:t>
      </w:r>
      <w:r>
        <w:rPr>
          <w:rFonts w:hint="eastAsia" w:ascii="宋体" w:hAnsi="宋体" w:cs="仿宋"/>
          <w:color w:val="auto"/>
          <w:kern w:val="0"/>
          <w:sz w:val="24"/>
          <w:szCs w:val="24"/>
          <w:highlight w:val="none"/>
          <w:lang w:val="en-US" w:eastAsia="zh-CN"/>
        </w:rPr>
        <w:t>供电</w:t>
      </w:r>
      <w:r>
        <w:rPr>
          <w:rFonts w:hint="eastAsia" w:ascii="宋体" w:hAnsi="宋体" w:cs="仿宋"/>
          <w:color w:val="auto"/>
          <w:kern w:val="0"/>
          <w:sz w:val="24"/>
          <w:szCs w:val="24"/>
          <w:highlight w:val="none"/>
          <w:lang w:eastAsia="zh-CN"/>
        </w:rPr>
        <w:t>公司全口径用户平均停电时间</w:t>
      </w:r>
      <w:r>
        <w:rPr>
          <w:rFonts w:hint="eastAsia" w:ascii="宋体" w:hAnsi="宋体" w:cs="仿宋"/>
          <w:color w:val="auto"/>
          <w:kern w:val="0"/>
          <w:sz w:val="24"/>
          <w:szCs w:val="24"/>
          <w:highlight w:val="none"/>
          <w:lang w:val="en-US" w:eastAsia="zh-CN"/>
        </w:rPr>
        <w:t>3.20h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99.9264</w:t>
      </w:r>
      <w:r>
        <w:rPr>
          <w:rFonts w:hint="eastAsia" w:ascii="宋体" w:hAnsi="宋体" w:cs="仿宋"/>
          <w:color w:val="auto"/>
          <w:kern w:val="0"/>
          <w:sz w:val="24"/>
          <w:szCs w:val="24"/>
          <w:highlight w:val="none"/>
          <w:lang w:eastAsia="zh-CN"/>
        </w:rPr>
        <w:t>%），同比增加</w:t>
      </w:r>
      <w:r>
        <w:rPr>
          <w:rFonts w:hint="eastAsia" w:ascii="宋体" w:hAnsi="宋体" w:cs="仿宋"/>
          <w:color w:val="auto"/>
          <w:kern w:val="0"/>
          <w:sz w:val="24"/>
          <w:szCs w:val="24"/>
          <w:highlight w:val="none"/>
          <w:lang w:val="en-US" w:eastAsia="zh-CN"/>
        </w:rPr>
        <w:t>0.08h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提高2.5%。其中城市</w:t>
      </w:r>
      <w:r>
        <w:rPr>
          <w:rFonts w:hint="eastAsia" w:ascii="宋体" w:hAnsi="宋体" w:cs="仿宋"/>
          <w:color w:val="auto"/>
          <w:kern w:val="0"/>
          <w:sz w:val="24"/>
          <w:szCs w:val="24"/>
          <w:highlight w:val="none"/>
          <w:lang w:eastAsia="zh-CN"/>
        </w:rPr>
        <w:t>用户平均停电时间</w:t>
      </w:r>
      <w:r>
        <w:rPr>
          <w:rFonts w:hint="eastAsia" w:ascii="宋体" w:hAnsi="宋体" w:cs="仿宋"/>
          <w:color w:val="auto"/>
          <w:kern w:val="0"/>
          <w:sz w:val="24"/>
          <w:szCs w:val="24"/>
          <w:highlight w:val="none"/>
          <w:lang w:val="en-US" w:eastAsia="zh-CN"/>
        </w:rPr>
        <w:t>0.84h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99.9808</w:t>
      </w:r>
      <w:r>
        <w:rPr>
          <w:rFonts w:hint="eastAsia" w:ascii="宋体" w:hAnsi="宋体" w:cs="仿宋"/>
          <w:color w:val="auto"/>
          <w:kern w:val="0"/>
          <w:sz w:val="24"/>
          <w:szCs w:val="24"/>
          <w:highlight w:val="none"/>
          <w:lang w:eastAsia="zh-CN"/>
        </w:rPr>
        <w:t>%），同比</w:t>
      </w:r>
      <w:r>
        <w:rPr>
          <w:rFonts w:hint="eastAsia" w:ascii="宋体" w:hAnsi="宋体" w:cs="仿宋"/>
          <w:color w:val="auto"/>
          <w:kern w:val="0"/>
          <w:sz w:val="24"/>
          <w:szCs w:val="24"/>
          <w:highlight w:val="none"/>
          <w:lang w:val="en-US" w:eastAsia="zh-CN"/>
        </w:rPr>
        <w:t>降低0.41h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降低32.80%；</w:t>
      </w:r>
      <w:r>
        <w:rPr>
          <w:rFonts w:hint="eastAsia" w:ascii="宋体" w:hAnsi="宋体" w:cs="仿宋"/>
          <w:color w:val="auto"/>
          <w:kern w:val="0"/>
          <w:sz w:val="24"/>
          <w:szCs w:val="24"/>
          <w:highlight w:val="none"/>
          <w:lang w:eastAsia="zh-CN"/>
        </w:rPr>
        <w:t>用户平均停电频率</w:t>
      </w:r>
      <w:r>
        <w:rPr>
          <w:rFonts w:hint="eastAsia" w:ascii="宋体" w:hAnsi="宋体" w:cs="仿宋"/>
          <w:color w:val="auto"/>
          <w:kern w:val="0"/>
          <w:sz w:val="24"/>
          <w:szCs w:val="24"/>
          <w:highlight w:val="none"/>
          <w:lang w:val="en-US" w:eastAsia="zh-CN"/>
        </w:rPr>
        <w:t>0.273</w:t>
      </w:r>
      <w:r>
        <w:rPr>
          <w:rFonts w:hint="eastAsia" w:ascii="宋体" w:hAnsi="宋体" w:cs="仿宋"/>
          <w:color w:val="auto"/>
          <w:kern w:val="0"/>
          <w:sz w:val="24"/>
          <w:szCs w:val="24"/>
          <w:highlight w:val="none"/>
          <w:lang w:eastAsia="zh-CN"/>
        </w:rPr>
        <w:t>次，同比减少</w:t>
      </w:r>
      <w:r>
        <w:rPr>
          <w:rFonts w:hint="eastAsia" w:ascii="宋体" w:hAnsi="宋体" w:cs="仿宋"/>
          <w:color w:val="auto"/>
          <w:kern w:val="0"/>
          <w:sz w:val="24"/>
          <w:szCs w:val="24"/>
          <w:highlight w:val="none"/>
          <w:lang w:val="en-US" w:eastAsia="zh-CN"/>
        </w:rPr>
        <w:t>0.077</w:t>
      </w:r>
      <w:r>
        <w:rPr>
          <w:rFonts w:hint="eastAsia" w:ascii="宋体" w:hAnsi="宋体" w:cs="仿宋"/>
          <w:color w:val="auto"/>
          <w:kern w:val="0"/>
          <w:sz w:val="24"/>
          <w:szCs w:val="24"/>
          <w:highlight w:val="none"/>
          <w:lang w:eastAsia="zh-CN"/>
        </w:rPr>
        <w:t>次。</w:t>
      </w:r>
      <w:r>
        <w:rPr>
          <w:rFonts w:hint="eastAsia" w:ascii="宋体" w:hAnsi="宋体" w:cs="仿宋"/>
          <w:color w:val="auto"/>
          <w:kern w:val="0"/>
          <w:sz w:val="24"/>
          <w:szCs w:val="24"/>
          <w:highlight w:val="none"/>
          <w:lang w:val="en-US" w:eastAsia="zh-CN"/>
        </w:rPr>
        <w:t>农村用户</w:t>
      </w:r>
      <w:r>
        <w:rPr>
          <w:rFonts w:hint="eastAsia" w:ascii="宋体" w:hAnsi="宋体" w:cs="仿宋"/>
          <w:color w:val="auto"/>
          <w:kern w:val="0"/>
          <w:sz w:val="24"/>
          <w:szCs w:val="24"/>
          <w:highlight w:val="none"/>
          <w:lang w:eastAsia="zh-CN"/>
        </w:rPr>
        <w:t>平均停电时间</w:t>
      </w:r>
      <w:r>
        <w:rPr>
          <w:rFonts w:hint="eastAsia" w:ascii="宋体" w:hAnsi="宋体" w:cs="仿宋"/>
          <w:color w:val="auto"/>
          <w:kern w:val="0"/>
          <w:sz w:val="24"/>
          <w:szCs w:val="24"/>
          <w:highlight w:val="none"/>
          <w:lang w:val="en-US" w:eastAsia="zh-CN"/>
        </w:rPr>
        <w:t>4.73h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99.8912</w:t>
      </w:r>
      <w:r>
        <w:rPr>
          <w:rFonts w:hint="eastAsia" w:ascii="宋体" w:hAnsi="宋体" w:cs="仿宋"/>
          <w:color w:val="auto"/>
          <w:kern w:val="0"/>
          <w:sz w:val="24"/>
          <w:szCs w:val="24"/>
          <w:highlight w:val="none"/>
          <w:lang w:eastAsia="zh-CN"/>
        </w:rPr>
        <w:t>%），同比</w:t>
      </w:r>
      <w:r>
        <w:rPr>
          <w:rFonts w:hint="eastAsia" w:ascii="宋体" w:hAnsi="宋体" w:cs="仿宋"/>
          <w:color w:val="auto"/>
          <w:kern w:val="0"/>
          <w:sz w:val="24"/>
          <w:szCs w:val="24"/>
          <w:highlight w:val="none"/>
          <w:lang w:val="en-US" w:eastAsia="zh-CN"/>
        </w:rPr>
        <w:t>降低0.31h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降低 6.55 %</w:t>
      </w:r>
      <w:r>
        <w:rPr>
          <w:rFonts w:hint="eastAsia" w:ascii="宋体" w:hAnsi="宋体" w:cs="仿宋"/>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33"/>
          <w:rFonts w:hint="eastAsia" w:ascii="宋体" w:hAnsi="宋体" w:cs="宋体"/>
          <w:sz w:val="24"/>
          <w:szCs w:val="24"/>
          <w:lang w:val="en-US" w:eastAsia="zh-CN"/>
        </w:rPr>
      </w:pPr>
      <w:r>
        <w:rPr>
          <w:rStyle w:val="33"/>
          <w:rFonts w:hint="eastAsia" w:ascii="宋体" w:hAnsi="宋体" w:cs="宋体"/>
          <w:sz w:val="24"/>
          <w:szCs w:val="24"/>
          <w:lang w:val="en-US" w:eastAsia="zh-CN"/>
        </w:rPr>
        <w:t>简述：</w:t>
      </w:r>
      <w:r>
        <w:rPr>
          <w:rStyle w:val="33"/>
          <w:rFonts w:hint="eastAsia" w:ascii="宋体" w:hAnsi="宋体" w:eastAsia="宋体" w:cs="宋体"/>
          <w:sz w:val="24"/>
          <w:szCs w:val="24"/>
          <w:lang w:val="en-US" w:eastAsia="zh-CN"/>
        </w:rPr>
        <w:t>2023年上半年城市用户平停电时间为0.84小时/户，同比降低0.41小时/户。主要由于加大对停电方案的审核力度，采用中压发电车和带电作业外委方式减少对外停电。农村用户平停电时间为4.73小时/户，同比增长0.31小时/户，升高的主要原因，去年疫情部分</w:t>
      </w:r>
      <w:r>
        <w:rPr>
          <w:rStyle w:val="33"/>
          <w:rFonts w:hint="eastAsia" w:ascii="宋体" w:hAnsi="宋体" w:cs="宋体"/>
          <w:sz w:val="24"/>
          <w:szCs w:val="24"/>
          <w:lang w:val="en-US" w:eastAsia="zh-CN"/>
        </w:rPr>
        <w:t>工程检修停电，调整到</w:t>
      </w:r>
      <w:r>
        <w:rPr>
          <w:rStyle w:val="33"/>
          <w:rFonts w:hint="eastAsia" w:ascii="宋体" w:hAnsi="宋体" w:eastAsia="宋体" w:cs="宋体"/>
          <w:sz w:val="24"/>
          <w:szCs w:val="24"/>
          <w:lang w:val="en-US" w:eastAsia="zh-CN"/>
        </w:rPr>
        <w:t>今年</w:t>
      </w:r>
      <w:r>
        <w:rPr>
          <w:rStyle w:val="33"/>
          <w:rFonts w:hint="eastAsia" w:ascii="宋体" w:hAnsi="宋体" w:cs="宋体"/>
          <w:sz w:val="24"/>
          <w:szCs w:val="24"/>
          <w:lang w:val="en-US" w:eastAsia="zh-CN"/>
        </w:rPr>
        <w:t>上半年执行。</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33"/>
          <w:rFonts w:hint="eastAsia" w:ascii="宋体" w:hAnsi="宋体" w:eastAsia="宋体" w:cs="宋体"/>
          <w:sz w:val="24"/>
          <w:szCs w:val="24"/>
          <w:lang w:val="en-US" w:eastAsia="zh-CN"/>
        </w:rPr>
      </w:pPr>
      <w:r>
        <w:rPr>
          <w:rStyle w:val="33"/>
          <w:rFonts w:hint="eastAsia" w:ascii="宋体" w:hAnsi="宋体" w:eastAsia="宋体" w:cs="宋体"/>
          <w:sz w:val="24"/>
          <w:szCs w:val="24"/>
          <w:lang w:val="en-US" w:eastAsia="zh-CN"/>
        </w:rPr>
        <w:t>简述：上半年无异常事件。影响停电时间增多（例如自然灾害、大面积停电3000时户数以上等）。</w:t>
      </w:r>
    </w:p>
    <w:p>
      <w:pPr>
        <w:pStyle w:val="49"/>
        <w:ind w:left="0" w:leftChars="0" w:firstLine="480" w:firstLineChars="200"/>
        <w:jc w:val="both"/>
        <w:rPr>
          <w:rFonts w:hint="default" w:cs="宋体"/>
          <w:szCs w:val="24"/>
          <w:highlight w:val="none"/>
          <w:lang w:val="en-US" w:eastAsia="zh-CN"/>
        </w:rPr>
      </w:pPr>
      <w:r>
        <w:rPr>
          <w:rFonts w:hint="eastAsia" w:cs="宋体"/>
          <w:szCs w:val="24"/>
          <w:highlight w:val="none"/>
          <w:lang w:eastAsia="zh-CN"/>
        </w:rPr>
        <w:t>2023年</w:t>
      </w:r>
      <w:r>
        <w:rPr>
          <w:rFonts w:hint="eastAsia" w:cs="宋体"/>
          <w:szCs w:val="24"/>
          <w:highlight w:val="none"/>
          <w:lang w:val="en-US" w:eastAsia="zh-CN"/>
        </w:rPr>
        <w:t>上半年全口径</w:t>
      </w:r>
      <w:r>
        <w:rPr>
          <w:rFonts w:hint="eastAsia" w:cs="宋体"/>
          <w:szCs w:val="24"/>
          <w:highlight w:val="none"/>
          <w:lang w:eastAsia="zh-CN"/>
        </w:rPr>
        <w:t>供电可靠性指标如表</w:t>
      </w:r>
      <w:r>
        <w:rPr>
          <w:rFonts w:hint="eastAsia" w:cs="宋体"/>
          <w:szCs w:val="24"/>
          <w:highlight w:val="none"/>
          <w:lang w:val="en-US" w:eastAsia="zh-CN"/>
        </w:rPr>
        <w:t>1所示</w:t>
      </w:r>
      <w:r>
        <w:rPr>
          <w:rFonts w:hint="eastAsia" w:cs="宋体"/>
          <w:szCs w:val="24"/>
          <w:highlight w:val="none"/>
          <w:lang w:eastAsia="zh-CN"/>
        </w:rPr>
        <w:t>。</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rPr>
      </w:pPr>
      <w:r>
        <w:rPr>
          <w:rFonts w:hint="eastAsia" w:ascii="黑体" w:hAnsi="黑体" w:eastAsia="黑体"/>
          <w:sz w:val="24"/>
          <w:szCs w:val="24"/>
          <w:highlight w:val="none"/>
        </w:rPr>
        <w:t>表</w:t>
      </w:r>
      <w:r>
        <w:rPr>
          <w:rFonts w:hint="eastAsia" w:ascii="黑体" w:hAnsi="黑体" w:eastAsia="黑体"/>
          <w:sz w:val="24"/>
          <w:szCs w:val="24"/>
          <w:highlight w:val="none"/>
          <w:lang w:val="en-US" w:eastAsia="zh-CN"/>
        </w:rPr>
        <w:t>1</w:t>
      </w:r>
      <w:r>
        <w:rPr>
          <w:rFonts w:hint="eastAsia" w:ascii="黑体" w:hAnsi="黑体" w:eastAsia="黑体"/>
          <w:sz w:val="24"/>
          <w:szCs w:val="24"/>
          <w:highlight w:val="none"/>
        </w:rPr>
        <w:t xml:space="preserve">  中压用户供电可靠性指标汇总</w:t>
      </w:r>
    </w:p>
    <w:p>
      <w:pPr>
        <w:pageBreakBefore w:val="0"/>
        <w:kinsoku/>
        <w:wordWrap/>
        <w:overflowPunct/>
        <w:topLinePunct w:val="0"/>
        <w:bidi w:val="0"/>
        <w:snapToGrid w:val="0"/>
        <w:spacing w:line="360" w:lineRule="auto"/>
        <w:jc w:val="right"/>
        <w:rPr>
          <w:rFonts w:hint="eastAsia"/>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8"/>
        <w:tblW w:w="90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196"/>
        <w:gridCol w:w="1675"/>
        <w:gridCol w:w="1187"/>
        <w:gridCol w:w="1187"/>
        <w:gridCol w:w="1635"/>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可靠性指标</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平均停电时间</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highlight w:val="none"/>
                <w:u w:val="none"/>
                <w:lang w:val="en-US" w:eastAsia="zh-CN" w:bidi="ar"/>
              </w:rPr>
              <w:t>降幅</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平均停电频率</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包头供电公司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3.2</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0.08</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-2.5</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0.701</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0.103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东河供电分公司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1.09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-0.42</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27.81</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0.251</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青山供电分公司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1.09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-0.1</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8.4</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0.306</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u w:val="none"/>
                <w:lang w:val="en-US" w:eastAsia="zh-CN" w:bidi="ar"/>
              </w:rPr>
              <w:t>-0.082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0"/>
                <w:szCs w:val="20"/>
                <w:u w:val="none"/>
                <w:lang w:val="en-US" w:eastAsia="zh-CN" w:bidi="ar"/>
              </w:rPr>
              <w:t>昆区供电分公司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1.46</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-0.01</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0.68</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0.343</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白云供电分公司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0.6</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-3.6</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85.71</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0.656</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-0.517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iCs w:val="0"/>
                <w:color w:val="000000"/>
                <w:kern w:val="0"/>
                <w:sz w:val="20"/>
                <w:szCs w:val="20"/>
                <w:u w:val="none"/>
                <w:lang w:val="en-US" w:eastAsia="zh-CN" w:bidi="ar"/>
              </w:rPr>
              <w:t>石拐供电分公司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u w:val="none"/>
                <w:lang w:val="en-US" w:eastAsia="zh-CN" w:bidi="ar"/>
              </w:rPr>
              <w:t>4.01</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u w:val="none"/>
                <w:lang w:val="en-US" w:eastAsia="zh-CN" w:bidi="ar"/>
              </w:rPr>
              <w:t>2.73</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u w:val="none"/>
                <w:lang w:val="en-US" w:eastAsia="zh-CN" w:bidi="ar"/>
              </w:rPr>
              <w:t>-213.28</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u w:val="none"/>
                <w:lang w:val="en-US" w:eastAsia="zh-CN" w:bidi="ar"/>
              </w:rPr>
              <w:t>0.506</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cs="宋体"/>
                <w:i w:val="0"/>
                <w:color w:val="000000"/>
                <w:kern w:val="0"/>
                <w:sz w:val="21"/>
                <w:szCs w:val="21"/>
                <w:u w:val="none"/>
                <w:lang w:val="en-US" w:eastAsia="zh-CN" w:bidi="ar"/>
              </w:rPr>
              <w:t>0.208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高新供电分公司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1.06</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-0.19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15.2</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0.317</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新都市区供电分公司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0.84</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0.08</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-10.52</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0.314</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0.043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九原供电分公司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5.76</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0.09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-1.58</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1.028</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土右供电分公司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3.29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-0.93</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22.03</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0.795</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固阳供电分公司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4.59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2.32</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-102.20</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0.698</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2196"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bottom"/>
          </w:tcPr>
          <w:p>
            <w:pPr>
              <w:keepNext w:val="0"/>
              <w:keepLines w:val="0"/>
              <w:widowControl/>
              <w:suppressLineNumbers w:val="0"/>
              <w:jc w:val="left"/>
              <w:textAlignment w:val="bottom"/>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达茂供电分公司</w:t>
            </w:r>
          </w:p>
        </w:tc>
        <w:tc>
          <w:tcPr>
            <w:tcW w:w="167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4.48</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0.19</w:t>
            </w:r>
          </w:p>
        </w:tc>
        <w:tc>
          <w:tcPr>
            <w:tcW w:w="1187"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-4.42</w:t>
            </w:r>
          </w:p>
        </w:tc>
        <w:tc>
          <w:tcPr>
            <w:tcW w:w="1635"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1.314</w:t>
            </w:r>
          </w:p>
        </w:tc>
        <w:tc>
          <w:tcPr>
            <w:tcW w:w="1218" w:type="dxa"/>
            <w:tcBorders>
              <w:top w:val="single" w:color="auto" w:sz="2" w:space="0"/>
              <w:left w:val="single" w:color="auto" w:sz="2" w:space="0"/>
              <w:bottom w:val="single" w:color="auto" w:sz="2" w:space="0"/>
              <w:right w:val="single" w:color="auto" w:sz="2"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0.684</w:t>
            </w:r>
          </w:p>
        </w:tc>
      </w:tr>
    </w:tbl>
    <w:p>
      <w:pPr>
        <w:pStyle w:val="49"/>
        <w:keepNext w:val="0"/>
        <w:keepLines w:val="0"/>
        <w:pageBreakBefore w:val="0"/>
        <w:widowControl/>
        <w:kinsoku/>
        <w:wordWrap/>
        <w:overflowPunct/>
        <w:topLinePunct w:val="0"/>
        <w:autoSpaceDE/>
        <w:autoSpaceDN/>
        <w:bidi w:val="0"/>
        <w:adjustRightInd w:val="0"/>
        <w:snapToGrid w:val="0"/>
        <w:spacing w:before="157" w:beforeLines="50" w:line="312" w:lineRule="auto"/>
        <w:ind w:left="0" w:leftChars="0" w:firstLine="0" w:firstLineChars="0"/>
        <w:textAlignment w:val="auto"/>
        <w:rPr>
          <w:rFonts w:hint="eastAsia" w:cs="宋体"/>
          <w:szCs w:val="24"/>
          <w:highlight w:val="none"/>
          <w:lang w:eastAsia="zh-CN"/>
        </w:rPr>
      </w:pPr>
      <w:r>
        <w:rPr>
          <w:rFonts w:hint="eastAsia" w:eastAsia="宋体" w:cs="宋体"/>
          <w:color w:val="auto"/>
          <w:sz w:val="21"/>
          <w:szCs w:val="21"/>
          <w:highlight w:val="none"/>
          <w:lang w:val="en-US" w:eastAsia="zh-CN"/>
        </w:rPr>
        <w:t>备注：同比=今年的指标-去年同期指标（后续用到的同比均是）</w:t>
      </w:r>
    </w:p>
    <w:p>
      <w:pPr>
        <w:pStyle w:val="49"/>
        <w:ind w:left="0" w:leftChars="0" w:firstLine="480" w:firstLineChars="200"/>
        <w:jc w:val="both"/>
        <w:rPr>
          <w:rFonts w:hint="eastAsia" w:cs="宋体"/>
          <w:szCs w:val="24"/>
          <w:highlight w:val="none"/>
        </w:rPr>
      </w:pPr>
      <w:r>
        <w:rPr>
          <w:rFonts w:hint="eastAsia" w:cs="宋体"/>
          <w:szCs w:val="24"/>
          <w:highlight w:val="none"/>
          <w:lang w:eastAsia="zh-CN"/>
        </w:rPr>
        <w:t>2023年</w:t>
      </w:r>
      <w:r>
        <w:rPr>
          <w:rFonts w:hint="eastAsia" w:cs="宋体"/>
          <w:szCs w:val="24"/>
          <w:highlight w:val="none"/>
          <w:lang w:val="en-US" w:eastAsia="zh-CN"/>
        </w:rPr>
        <w:t>上半年</w:t>
      </w:r>
      <w:r>
        <w:rPr>
          <w:rFonts w:hint="eastAsia" w:cs="宋体"/>
          <w:color w:val="auto"/>
          <w:szCs w:val="24"/>
          <w:highlight w:val="none"/>
        </w:rPr>
        <w:t>城市</w:t>
      </w:r>
      <w:r>
        <w:rPr>
          <w:rFonts w:hint="eastAsia" w:cs="宋体"/>
          <w:szCs w:val="24"/>
          <w:highlight w:val="none"/>
        </w:rPr>
        <w:t>用</w:t>
      </w:r>
      <w:r>
        <w:rPr>
          <w:rFonts w:hint="eastAsia" w:cs="宋体"/>
          <w:szCs w:val="24"/>
          <w:highlight w:val="none"/>
          <w:lang w:eastAsia="zh-CN"/>
        </w:rPr>
        <w:t>户供电可靠性指标如表</w:t>
      </w:r>
      <w:r>
        <w:rPr>
          <w:rFonts w:hint="eastAsia" w:cs="宋体"/>
          <w:szCs w:val="24"/>
          <w:highlight w:val="none"/>
          <w:lang w:val="en-US" w:eastAsia="zh-CN"/>
        </w:rPr>
        <w:t>2所示</w:t>
      </w:r>
      <w:r>
        <w:rPr>
          <w:rFonts w:hint="eastAsia" w:cs="宋体"/>
          <w:szCs w:val="24"/>
          <w:highlight w:val="none"/>
        </w:rPr>
        <w:t>。</w:t>
      </w:r>
    </w:p>
    <w:p>
      <w:pPr>
        <w:pageBreakBefore w:val="0"/>
        <w:kinsoku/>
        <w:wordWrap/>
        <w:overflowPunct/>
        <w:topLinePunct w:val="0"/>
        <w:bidi w:val="0"/>
        <w:snapToGrid w:val="0"/>
        <w:spacing w:line="312" w:lineRule="auto"/>
        <w:jc w:val="center"/>
        <w:rPr>
          <w:rFonts w:hint="eastAsia" w:ascii="黑体" w:hAnsi="黑体" w:eastAsia="黑体"/>
          <w:sz w:val="24"/>
          <w:szCs w:val="24"/>
          <w:highlight w:val="none"/>
          <w:lang w:val="en-US" w:eastAsia="zh-CN"/>
        </w:rPr>
      </w:pPr>
      <w:r>
        <w:rPr>
          <w:rFonts w:hint="eastAsia" w:ascii="黑体" w:hAnsi="黑体" w:eastAsia="黑体"/>
          <w:sz w:val="24"/>
          <w:szCs w:val="24"/>
          <w:highlight w:val="none"/>
          <w:lang w:val="en-US" w:eastAsia="zh-CN"/>
        </w:rPr>
        <w:t>表2  城市用户供电可靠性指标</w:t>
      </w:r>
    </w:p>
    <w:p>
      <w:pPr>
        <w:pStyle w:val="49"/>
        <w:ind w:left="0" w:leftChars="0" w:firstLine="0" w:firstLineChars="0"/>
        <w:jc w:val="right"/>
        <w:rPr>
          <w:rFonts w:hint="default" w:ascii="黑体" w:hAnsi="黑体" w:eastAsia="黑体"/>
          <w:sz w:val="24"/>
          <w:szCs w:val="24"/>
          <w:highlight w:val="none"/>
          <w:lang w:val="en-US" w:eastAsia="zh-CN"/>
        </w:rPr>
      </w:pPr>
      <w:r>
        <w:rPr>
          <w:rFonts w:hint="eastAsia" w:ascii="宋体" w:hAnsi="宋体" w:cs="宋体"/>
          <w:i w:val="0"/>
          <w:color w:val="000000"/>
          <w:kern w:val="0"/>
          <w:sz w:val="20"/>
          <w:szCs w:val="20"/>
          <w:highlight w:val="none"/>
          <w:u w:val="none"/>
          <w:lang w:val="en-US" w:eastAsia="zh-CN" w:bidi="ar"/>
        </w:rPr>
        <w:t>单位：户、%、</w:t>
      </w:r>
      <w:r>
        <w:rPr>
          <w:rFonts w:hint="eastAsia" w:ascii="宋体" w:hAnsi="宋体" w:eastAsia="宋体" w:cs="宋体"/>
          <w:i w:val="0"/>
          <w:color w:val="000000"/>
          <w:kern w:val="0"/>
          <w:sz w:val="20"/>
          <w:szCs w:val="20"/>
          <w:highlight w:val="none"/>
          <w:u w:val="none"/>
          <w:lang w:val="en-US" w:eastAsia="zh-CN" w:bidi="ar"/>
        </w:rPr>
        <w:t>h/户</w:t>
      </w:r>
      <w:r>
        <w:rPr>
          <w:rFonts w:hint="eastAsia" w:ascii="宋体" w:hAnsi="宋体" w:cs="宋体"/>
          <w:i w:val="0"/>
          <w:color w:val="000000"/>
          <w:kern w:val="0"/>
          <w:sz w:val="20"/>
          <w:szCs w:val="20"/>
          <w:highlight w:val="none"/>
          <w:u w:val="none"/>
          <w:lang w:val="en-US" w:eastAsia="zh-CN" w:bidi="ar"/>
        </w:rPr>
        <w:t>、次</w:t>
      </w:r>
      <w:r>
        <w:rPr>
          <w:rFonts w:hint="eastAsia" w:cs="宋体"/>
          <w:i w:val="0"/>
          <w:color w:val="000000"/>
          <w:kern w:val="0"/>
          <w:sz w:val="20"/>
          <w:szCs w:val="20"/>
          <w:highlight w:val="none"/>
          <w:u w:val="none"/>
          <w:lang w:val="en-US" w:eastAsia="zh-CN" w:bidi="ar"/>
        </w:rPr>
        <w:t>/户、次</w:t>
      </w:r>
    </w:p>
    <w:tbl>
      <w:tblPr>
        <w:tblStyle w:val="28"/>
        <w:tblW w:w="928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3"/>
        <w:gridCol w:w="1266"/>
        <w:gridCol w:w="1056"/>
        <w:gridCol w:w="846"/>
        <w:gridCol w:w="951"/>
        <w:gridCol w:w="846"/>
        <w:gridCol w:w="951"/>
        <w:gridCol w:w="531"/>
        <w:gridCol w:w="847"/>
        <w:gridCol w:w="317"/>
        <w:gridCol w:w="84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3" w:hRule="exact"/>
        </w:trPr>
        <w:tc>
          <w:tcPr>
            <w:tcW w:w="82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10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平均供电靠率</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平均停电时间</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同比</w:t>
            </w:r>
          </w:p>
        </w:tc>
        <w:tc>
          <w:tcPr>
            <w:tcW w:w="84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平均停电频率</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同比</w:t>
            </w:r>
          </w:p>
        </w:tc>
        <w:tc>
          <w:tcPr>
            <w:tcW w:w="137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cs="宋体"/>
                <w:kern w:val="0"/>
                <w:highlight w:val="none"/>
              </w:rPr>
              <w:t>带电作业</w:t>
            </w:r>
          </w:p>
        </w:tc>
        <w:tc>
          <w:tcPr>
            <w:tcW w:w="1164" w:type="dxa"/>
            <w:gridSpan w:val="2"/>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highlight w:val="none"/>
              </w:rPr>
            </w:pPr>
            <w:r>
              <w:rPr>
                <w:rFonts w:hint="eastAsia" w:ascii="宋体" w:hAnsi="宋体" w:eastAsia="宋体" w:cs="宋体"/>
                <w:kern w:val="0"/>
                <w:highlight w:val="none"/>
                <w:lang w:val="en-US" w:eastAsia="zh-CN"/>
              </w:rPr>
              <w:t>利用移动装备转带负荷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823"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105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84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highlight w:val="none"/>
              </w:rPr>
            </w:pPr>
          </w:p>
        </w:tc>
        <w:tc>
          <w:tcPr>
            <w:tcW w:w="531" w:type="dxa"/>
            <w:tcBorders>
              <w:top w:val="single" w:color="auto" w:sz="4" w:space="0"/>
              <w:left w:val="single" w:color="auto" w:sz="4" w:space="0"/>
              <w:bottom w:val="single" w:color="auto" w:sz="4" w:space="0"/>
              <w:right w:val="single" w:color="auto" w:sz="4" w:space="0"/>
            </w:tcBorders>
            <w:vAlign w:val="center"/>
          </w:tcPr>
          <w:p>
            <w:pPr>
              <w:widowControl/>
              <w:ind w:left="-107" w:leftChars="-51" w:right="-107" w:rightChars="-51"/>
              <w:jc w:val="center"/>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次数</w:t>
            </w:r>
          </w:p>
        </w:tc>
        <w:tc>
          <w:tcPr>
            <w:tcW w:w="847" w:type="dxa"/>
            <w:tcBorders>
              <w:top w:val="single" w:color="auto" w:sz="4" w:space="0"/>
              <w:left w:val="single" w:color="auto" w:sz="4" w:space="0"/>
              <w:bottom w:val="single" w:color="auto" w:sz="4" w:space="0"/>
              <w:right w:val="single" w:color="auto" w:sz="4" w:space="0"/>
            </w:tcBorders>
            <w:vAlign w:val="center"/>
          </w:tcPr>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减少的</w:t>
            </w:r>
          </w:p>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停电时间</w:t>
            </w:r>
          </w:p>
        </w:tc>
        <w:tc>
          <w:tcPr>
            <w:tcW w:w="317" w:type="dxa"/>
            <w:tcBorders>
              <w:left w:val="single" w:color="auto" w:sz="4" w:space="0"/>
              <w:bottom w:val="single" w:color="auto" w:sz="4" w:space="0"/>
              <w:right w:val="single" w:color="auto" w:sz="4" w:space="0"/>
            </w:tcBorders>
            <w:vAlign w:val="center"/>
          </w:tcPr>
          <w:p>
            <w:pPr>
              <w:widowControl/>
              <w:ind w:left="-107" w:leftChars="-51" w:right="-107" w:rightChars="-51"/>
              <w:jc w:val="center"/>
              <w:rPr>
                <w:rFonts w:hint="eastAsia" w:ascii="宋体" w:hAnsi="宋体" w:eastAsia="宋体" w:cs="宋体"/>
                <w:kern w:val="0"/>
                <w:sz w:val="21"/>
                <w:szCs w:val="21"/>
                <w:highlight w:val="none"/>
                <w:lang w:val="en-US" w:eastAsia="zh-CN" w:bidi="ar-SA"/>
              </w:rPr>
            </w:pPr>
            <w:r>
              <w:rPr>
                <w:rFonts w:hint="eastAsia" w:ascii="宋体" w:hAnsi="宋体" w:cs="宋体"/>
                <w:kern w:val="0"/>
                <w:highlight w:val="none"/>
                <w:lang w:val="en-US" w:eastAsia="zh-CN"/>
              </w:rPr>
              <w:t>次数</w:t>
            </w:r>
          </w:p>
        </w:tc>
        <w:tc>
          <w:tcPr>
            <w:tcW w:w="847" w:type="dxa"/>
            <w:tcBorders>
              <w:left w:val="single" w:color="auto" w:sz="4" w:space="0"/>
              <w:bottom w:val="single" w:color="auto" w:sz="4" w:space="0"/>
              <w:right w:val="single" w:color="auto" w:sz="4" w:space="0"/>
            </w:tcBorders>
            <w:vAlign w:val="center"/>
          </w:tcPr>
          <w:p>
            <w:pPr>
              <w:widowControl/>
              <w:ind w:left="-107" w:leftChars="-51" w:right="-107" w:rightChars="-51"/>
              <w:jc w:val="center"/>
              <w:rPr>
                <w:rFonts w:hint="eastAsia" w:ascii="宋体" w:hAnsi="宋体" w:cs="宋体"/>
                <w:kern w:val="0"/>
                <w:highlight w:val="none"/>
              </w:rPr>
            </w:pPr>
            <w:r>
              <w:rPr>
                <w:rFonts w:hint="eastAsia" w:ascii="宋体" w:hAnsi="宋体" w:cs="宋体"/>
                <w:kern w:val="0"/>
                <w:highlight w:val="none"/>
              </w:rPr>
              <w:t>减少的</w:t>
            </w:r>
          </w:p>
          <w:p>
            <w:pPr>
              <w:widowControl/>
              <w:ind w:left="-107" w:leftChars="-51" w:right="-107" w:rightChars="-51"/>
              <w:jc w:val="center"/>
              <w:rPr>
                <w:rFonts w:hint="eastAsia" w:ascii="宋体" w:hAnsi="宋体" w:cs="宋体"/>
                <w:kern w:val="0"/>
                <w:sz w:val="21"/>
                <w:szCs w:val="21"/>
                <w:highlight w:val="none"/>
                <w:lang w:val="en-US" w:eastAsia="zh-CN" w:bidi="ar-SA"/>
              </w:rPr>
            </w:pPr>
            <w:r>
              <w:rPr>
                <w:rFonts w:hint="eastAsia" w:ascii="宋体" w:hAnsi="宋体" w:cs="宋体"/>
                <w:kern w:val="0"/>
                <w:highlight w:val="none"/>
              </w:rPr>
              <w:t>停电时间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包头供电公司</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10567.11</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w:t>
            </w:r>
            <w:r>
              <w:rPr>
                <w:rFonts w:hint="eastAsia" w:ascii="宋体" w:hAnsi="宋体" w:cs="宋体"/>
                <w:i w:val="0"/>
                <w:color w:val="000000"/>
                <w:kern w:val="0"/>
                <w:sz w:val="21"/>
                <w:szCs w:val="21"/>
                <w:u w:val="none"/>
                <w:lang w:val="en-US" w:eastAsia="zh-CN" w:bidi="ar"/>
              </w:rPr>
              <w:t>.9808</w:t>
            </w:r>
            <w:r>
              <w:rPr>
                <w:rFonts w:hint="eastAsia" w:ascii="宋体" w:hAnsi="宋体" w:eastAsia="宋体" w:cs="宋体"/>
                <w:i w:val="0"/>
                <w:color w:val="000000"/>
                <w:kern w:val="0"/>
                <w:sz w:val="21"/>
                <w:szCs w:val="21"/>
                <w:u w:val="none"/>
                <w:lang w:val="en-US" w:eastAsia="zh-CN" w:bidi="ar"/>
              </w:rPr>
              <w:t xml:space="preserve"> </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84</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-0.41</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273</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077</w:t>
            </w:r>
            <w:r>
              <w:rPr>
                <w:rFonts w:hint="eastAsia" w:ascii="宋体" w:hAnsi="宋体" w:eastAsia="宋体" w:cs="宋体"/>
                <w:i w:val="0"/>
                <w:color w:val="000000"/>
                <w:kern w:val="0"/>
                <w:sz w:val="21"/>
                <w:szCs w:val="21"/>
                <w:u w:val="none"/>
                <w:lang w:val="en-US" w:eastAsia="zh-CN" w:bidi="ar"/>
              </w:rPr>
              <w:t xml:space="preserve"> </w:t>
            </w:r>
          </w:p>
        </w:tc>
        <w:tc>
          <w:tcPr>
            <w:tcW w:w="5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0.031</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1170026.144</w:t>
            </w:r>
          </w:p>
        </w:tc>
        <w:tc>
          <w:tcPr>
            <w:tcW w:w="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东河供电分公司</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2084.42</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w:t>
            </w:r>
            <w:r>
              <w:rPr>
                <w:rFonts w:hint="eastAsia" w:ascii="宋体" w:hAnsi="宋体" w:cs="宋体"/>
                <w:i w:val="0"/>
                <w:color w:val="000000"/>
                <w:kern w:val="0"/>
                <w:sz w:val="21"/>
                <w:szCs w:val="21"/>
                <w:u w:val="none"/>
                <w:lang w:val="en-US" w:eastAsia="zh-CN" w:bidi="ar"/>
              </w:rPr>
              <w:t>9872</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56</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0.95</w:t>
            </w:r>
            <w:r>
              <w:rPr>
                <w:rFonts w:hint="eastAsia" w:ascii="宋体" w:hAnsi="宋体" w:eastAsia="宋体" w:cs="宋体"/>
                <w:i w:val="0"/>
                <w:color w:val="000000"/>
                <w:kern w:val="0"/>
                <w:sz w:val="21"/>
                <w:szCs w:val="21"/>
                <w:u w:val="none"/>
                <w:lang w:val="en-US" w:eastAsia="zh-CN" w:bidi="ar"/>
              </w:rPr>
              <w:t xml:space="preserve"> </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184</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084</w:t>
            </w:r>
            <w:r>
              <w:rPr>
                <w:rFonts w:hint="eastAsia" w:ascii="宋体" w:hAnsi="宋体" w:eastAsia="宋体" w:cs="宋体"/>
                <w:i w:val="0"/>
                <w:color w:val="000000"/>
                <w:kern w:val="0"/>
                <w:sz w:val="21"/>
                <w:szCs w:val="21"/>
                <w:u w:val="none"/>
                <w:lang w:val="en-US" w:eastAsia="zh-CN" w:bidi="ar"/>
              </w:rPr>
              <w:t xml:space="preserve"> </w:t>
            </w:r>
          </w:p>
        </w:tc>
        <w:tc>
          <w:tcPr>
            <w:tcW w:w="5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0.050</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331317.399</w:t>
            </w:r>
          </w:p>
        </w:tc>
        <w:tc>
          <w:tcPr>
            <w:tcW w:w="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青山供电分公司</w:t>
            </w:r>
          </w:p>
        </w:tc>
        <w:tc>
          <w:tcPr>
            <w:tcW w:w="12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2605.54</w:t>
            </w:r>
            <w:r>
              <w:rPr>
                <w:rFonts w:hint="eastAsia" w:ascii="宋体" w:hAnsi="宋体" w:eastAsia="宋体" w:cs="宋体"/>
                <w:i w:val="0"/>
                <w:color w:val="000000"/>
                <w:kern w:val="0"/>
                <w:sz w:val="21"/>
                <w:szCs w:val="21"/>
                <w:u w:val="none"/>
                <w:lang w:val="en-US" w:eastAsia="zh-CN" w:bidi="ar"/>
              </w:rPr>
              <w:t xml:space="preserve"> </w:t>
            </w:r>
          </w:p>
        </w:tc>
        <w:tc>
          <w:tcPr>
            <w:tcW w:w="10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w:t>
            </w:r>
            <w:r>
              <w:rPr>
                <w:rFonts w:hint="eastAsia" w:ascii="宋体" w:hAnsi="宋体" w:cs="宋体"/>
                <w:i w:val="0"/>
                <w:color w:val="000000"/>
                <w:kern w:val="0"/>
                <w:sz w:val="21"/>
                <w:szCs w:val="21"/>
                <w:u w:val="none"/>
                <w:lang w:val="en-US" w:eastAsia="zh-CN" w:bidi="ar"/>
              </w:rPr>
              <w:t>9829</w:t>
            </w:r>
            <w:r>
              <w:rPr>
                <w:rFonts w:hint="eastAsia" w:ascii="宋体" w:hAnsi="宋体" w:eastAsia="宋体" w:cs="宋体"/>
                <w:i w:val="0"/>
                <w:color w:val="000000"/>
                <w:kern w:val="0"/>
                <w:sz w:val="21"/>
                <w:szCs w:val="21"/>
                <w:u w:val="none"/>
                <w:lang w:val="en-US" w:eastAsia="zh-CN" w:bidi="ar"/>
              </w:rPr>
              <w:t xml:space="preserve"> </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74</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45</w:t>
            </w:r>
            <w:r>
              <w:rPr>
                <w:rFonts w:hint="eastAsia" w:ascii="宋体" w:hAnsi="宋体" w:eastAsia="宋体" w:cs="宋体"/>
                <w:i w:val="0"/>
                <w:color w:val="000000"/>
                <w:kern w:val="0"/>
                <w:sz w:val="21"/>
                <w:szCs w:val="21"/>
                <w:u w:val="none"/>
                <w:lang w:val="en-US" w:eastAsia="zh-CN" w:bidi="ar"/>
              </w:rPr>
              <w:t xml:space="preserve"> </w:t>
            </w:r>
          </w:p>
        </w:tc>
        <w:tc>
          <w:tcPr>
            <w:tcW w:w="8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273</w:t>
            </w:r>
            <w:r>
              <w:rPr>
                <w:rFonts w:hint="eastAsia" w:ascii="宋体" w:hAnsi="宋体" w:eastAsia="宋体" w:cs="宋体"/>
                <w:i w:val="0"/>
                <w:color w:val="000000"/>
                <w:kern w:val="0"/>
                <w:sz w:val="21"/>
                <w:szCs w:val="21"/>
                <w:u w:val="none"/>
                <w:lang w:val="en-US" w:eastAsia="zh-CN" w:bidi="ar"/>
              </w:rPr>
              <w:t xml:space="preserve"> </w:t>
            </w:r>
          </w:p>
        </w:tc>
        <w:tc>
          <w:tcPr>
            <w:tcW w:w="9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065</w:t>
            </w:r>
            <w:r>
              <w:rPr>
                <w:rFonts w:hint="eastAsia" w:ascii="宋体" w:hAnsi="宋体" w:eastAsia="宋体" w:cs="宋体"/>
                <w:i w:val="0"/>
                <w:color w:val="000000"/>
                <w:kern w:val="0"/>
                <w:sz w:val="21"/>
                <w:szCs w:val="21"/>
                <w:u w:val="none"/>
                <w:lang w:val="en-US" w:eastAsia="zh-CN" w:bidi="ar"/>
              </w:rPr>
              <w:t xml:space="preserve"> </w:t>
            </w:r>
          </w:p>
        </w:tc>
        <w:tc>
          <w:tcPr>
            <w:tcW w:w="53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0.021</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139770.913</w:t>
            </w:r>
          </w:p>
        </w:tc>
        <w:tc>
          <w:tcPr>
            <w:tcW w:w="3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昆区供电分公司</w:t>
            </w:r>
          </w:p>
        </w:tc>
        <w:tc>
          <w:tcPr>
            <w:tcW w:w="126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2285.87</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99.97</w:t>
            </w:r>
            <w:r>
              <w:rPr>
                <w:rFonts w:hint="eastAsia" w:ascii="宋体" w:hAnsi="宋体" w:cs="宋体"/>
                <w:i w:val="0"/>
                <w:color w:val="000000"/>
                <w:kern w:val="0"/>
                <w:sz w:val="21"/>
                <w:szCs w:val="21"/>
                <w:u w:val="none"/>
                <w:lang w:val="en-US" w:eastAsia="zh-CN" w:bidi="ar"/>
              </w:rPr>
              <w:t>83</w:t>
            </w:r>
            <w:r>
              <w:rPr>
                <w:rFonts w:hint="eastAsia" w:ascii="宋体" w:hAnsi="宋体" w:eastAsia="宋体" w:cs="宋体"/>
                <w:i w:val="0"/>
                <w:color w:val="000000"/>
                <w:kern w:val="0"/>
                <w:sz w:val="21"/>
                <w:szCs w:val="21"/>
                <w:u w:val="none"/>
                <w:lang w:val="en-US" w:eastAsia="zh-CN" w:bidi="ar"/>
              </w:rPr>
              <w:t xml:space="preserve"> </w:t>
            </w:r>
          </w:p>
        </w:tc>
        <w:tc>
          <w:tcPr>
            <w:tcW w:w="84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94</w:t>
            </w:r>
            <w:r>
              <w:rPr>
                <w:rFonts w:hint="eastAsia" w:ascii="宋体" w:hAnsi="宋体" w:eastAsia="宋体" w:cs="宋体"/>
                <w:i w:val="0"/>
                <w:color w:val="000000"/>
                <w:kern w:val="0"/>
                <w:sz w:val="21"/>
                <w:szCs w:val="21"/>
                <w:u w:val="none"/>
                <w:lang w:val="en-US" w:eastAsia="zh-CN" w:bidi="ar"/>
              </w:rPr>
              <w:t xml:space="preserve"> </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-0.53</w:t>
            </w:r>
          </w:p>
        </w:tc>
        <w:tc>
          <w:tcPr>
            <w:tcW w:w="84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243</w:t>
            </w:r>
            <w:r>
              <w:rPr>
                <w:rFonts w:hint="eastAsia" w:ascii="宋体" w:hAnsi="宋体" w:eastAsia="宋体" w:cs="宋体"/>
                <w:i w:val="0"/>
                <w:color w:val="000000"/>
                <w:kern w:val="0"/>
                <w:sz w:val="21"/>
                <w:szCs w:val="21"/>
                <w:u w:val="none"/>
                <w:lang w:val="en-US" w:eastAsia="zh-CN" w:bidi="ar"/>
              </w:rPr>
              <w:t xml:space="preserve"> </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-0.133</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0.026</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219117.910</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白云供电分公司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297.78</w:t>
            </w:r>
          </w:p>
        </w:tc>
        <w:tc>
          <w:tcPr>
            <w:tcW w:w="105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w:t>
            </w:r>
            <w:r>
              <w:rPr>
                <w:rFonts w:hint="eastAsia" w:ascii="宋体" w:hAnsi="宋体" w:cs="宋体"/>
                <w:i w:val="0"/>
                <w:color w:val="000000"/>
                <w:kern w:val="0"/>
                <w:sz w:val="21"/>
                <w:szCs w:val="21"/>
                <w:u w:val="none"/>
                <w:lang w:val="en-US" w:eastAsia="zh-CN" w:bidi="ar"/>
              </w:rPr>
              <w:t>9884</w:t>
            </w:r>
            <w:r>
              <w:rPr>
                <w:rFonts w:hint="eastAsia" w:ascii="宋体" w:hAnsi="宋体" w:eastAsia="宋体" w:cs="宋体"/>
                <w:i w:val="0"/>
                <w:color w:val="000000"/>
                <w:kern w:val="0"/>
                <w:sz w:val="21"/>
                <w:szCs w:val="21"/>
                <w:u w:val="none"/>
                <w:lang w:val="en-US" w:eastAsia="zh-CN" w:bidi="ar"/>
              </w:rPr>
              <w:t xml:space="preserve"> </w:t>
            </w:r>
          </w:p>
        </w:tc>
        <w:tc>
          <w:tcPr>
            <w:tcW w:w="84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5</w:t>
            </w:r>
            <w:r>
              <w:rPr>
                <w:rFonts w:hint="eastAsia" w:ascii="宋体" w:hAnsi="宋体" w:eastAsia="宋体" w:cs="宋体"/>
                <w:i w:val="0"/>
                <w:color w:val="000000"/>
                <w:kern w:val="0"/>
                <w:sz w:val="21"/>
                <w:szCs w:val="21"/>
                <w:u w:val="none"/>
                <w:lang w:val="en-US" w:eastAsia="zh-CN" w:bidi="ar"/>
              </w:rPr>
              <w:t xml:space="preserve"> </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-0.99</w:t>
            </w:r>
            <w:r>
              <w:rPr>
                <w:rFonts w:hint="eastAsia" w:ascii="宋体" w:hAnsi="宋体" w:eastAsia="宋体" w:cs="宋体"/>
                <w:i w:val="0"/>
                <w:color w:val="000000"/>
                <w:kern w:val="0"/>
                <w:sz w:val="21"/>
                <w:szCs w:val="21"/>
                <w:u w:val="none"/>
                <w:lang w:val="en-US" w:eastAsia="zh-CN" w:bidi="ar"/>
              </w:rPr>
              <w:t xml:space="preserve"> </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.558</w:t>
            </w:r>
          </w:p>
        </w:tc>
        <w:tc>
          <w:tcPr>
            <w:tcW w:w="951"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0.</w:t>
            </w:r>
            <w:r>
              <w:rPr>
                <w:rFonts w:hint="eastAsia" w:ascii="宋体" w:hAnsi="宋体" w:cs="宋体"/>
                <w:i w:val="0"/>
                <w:color w:val="000000"/>
                <w:kern w:val="0"/>
                <w:sz w:val="21"/>
                <w:szCs w:val="21"/>
                <w:u w:val="none"/>
                <w:lang w:val="en-US" w:eastAsia="zh-CN" w:bidi="ar"/>
              </w:rPr>
              <w:t>002</w:t>
            </w:r>
            <w:r>
              <w:rPr>
                <w:rFonts w:hint="eastAsia" w:ascii="宋体" w:hAnsi="宋体" w:eastAsia="宋体" w:cs="宋体"/>
                <w:i w:val="0"/>
                <w:color w:val="000000"/>
                <w:kern w:val="0"/>
                <w:sz w:val="21"/>
                <w:szCs w:val="21"/>
                <w:u w:val="none"/>
                <w:lang w:val="en-US" w:eastAsia="zh-CN" w:bidi="ar"/>
              </w:rPr>
              <w:t xml:space="preserve"> </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0.028</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12328.223</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石拐供电分公司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i w:val="0"/>
                <w:color w:val="000000"/>
                <w:kern w:val="0"/>
                <w:sz w:val="21"/>
                <w:szCs w:val="21"/>
                <w:u w:val="none"/>
                <w:lang w:val="en-US" w:eastAsia="zh-CN" w:bidi="ar"/>
              </w:rPr>
              <w:t>192.03</w:t>
            </w:r>
          </w:p>
        </w:tc>
        <w:tc>
          <w:tcPr>
            <w:tcW w:w="1056" w:type="dxa"/>
            <w:vAlign w:val="center"/>
          </w:tcPr>
          <w:p>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i w:val="0"/>
                <w:color w:val="000000"/>
                <w:kern w:val="0"/>
                <w:sz w:val="21"/>
                <w:szCs w:val="21"/>
                <w:u w:val="none"/>
                <w:lang w:val="en-US" w:eastAsia="zh-CN" w:bidi="ar"/>
              </w:rPr>
              <w:t>99.96</w:t>
            </w:r>
            <w:r>
              <w:rPr>
                <w:rFonts w:hint="eastAsia" w:ascii="宋体" w:hAnsi="宋体" w:cs="宋体"/>
                <w:i w:val="0"/>
                <w:color w:val="000000"/>
                <w:kern w:val="0"/>
                <w:sz w:val="21"/>
                <w:szCs w:val="21"/>
                <w:u w:val="none"/>
                <w:lang w:val="en-US" w:eastAsia="zh-CN" w:bidi="ar"/>
              </w:rPr>
              <w:t>81</w:t>
            </w:r>
            <w:r>
              <w:rPr>
                <w:rFonts w:hint="eastAsia" w:ascii="宋体" w:hAnsi="宋体" w:eastAsia="宋体" w:cs="宋体"/>
                <w:i w:val="0"/>
                <w:color w:val="000000"/>
                <w:kern w:val="0"/>
                <w:sz w:val="21"/>
                <w:szCs w:val="21"/>
                <w:u w:val="none"/>
                <w:lang w:val="en-US" w:eastAsia="zh-CN" w:bidi="ar"/>
              </w:rPr>
              <w:t xml:space="preserve"> </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1.38</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-0.04</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0.474</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0.060</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0.055</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10143.925</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高新供电分公司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1501.49</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99.9758</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1.05</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-0.18</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0.306</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-0.056</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0.025</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152962.920</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新都市区供电分公司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977.78</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99.9807</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0.84</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0.12</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0.314</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0.043</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0.032</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235236.216</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九原供电分公司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72.15</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99.9701</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1.30</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1.17</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0.748</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0.696</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土右供电分公司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178.38</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99.9841</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0.69</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-0.63</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0.521</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0.489</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0.009</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5403.695</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固阳供电分公司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182.00</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99.9305</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3.02</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2.88</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0.379</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0.095</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0.079</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62612.385</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trPr>
        <w:tc>
          <w:tcPr>
            <w:tcW w:w="823" w:type="dxa"/>
            <w:vAlign w:val="bottom"/>
          </w:tcPr>
          <w:p>
            <w:pPr>
              <w:keepNext w:val="0"/>
              <w:keepLines w:val="0"/>
              <w:widowControl/>
              <w:suppressLineNumbers w:val="0"/>
              <w:jc w:val="left"/>
              <w:textAlignment w:val="bottom"/>
              <w:rPr>
                <w:rFonts w:hint="eastAsia" w:ascii="Times New Roman" w:hAnsi="Times New Roman" w:eastAsia="宋体" w:cs="Times New Roman"/>
                <w:kern w:val="2"/>
                <w:sz w:val="21"/>
                <w:szCs w:val="21"/>
                <w:lang w:val="en-US" w:eastAsia="zh-CN" w:bidi="ar-SA"/>
              </w:rPr>
            </w:pPr>
            <w:r>
              <w:rPr>
                <w:rFonts w:hint="eastAsia" w:ascii="宋体" w:hAnsi="宋体" w:eastAsia="宋体" w:cs="宋体"/>
                <w:i w:val="0"/>
                <w:iCs w:val="0"/>
                <w:color w:val="000000"/>
                <w:kern w:val="0"/>
                <w:sz w:val="20"/>
                <w:szCs w:val="20"/>
                <w:u w:val="none"/>
                <w:lang w:val="en-US" w:eastAsia="zh-CN" w:bidi="ar"/>
              </w:rPr>
              <w:t>达茂供电分公司</w:t>
            </w:r>
          </w:p>
        </w:tc>
        <w:tc>
          <w:tcPr>
            <w:tcW w:w="126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144.00</w:t>
            </w:r>
          </w:p>
        </w:tc>
        <w:tc>
          <w:tcPr>
            <w:tcW w:w="105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100.0000</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0.00</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-1.10</w:t>
            </w:r>
          </w:p>
        </w:tc>
        <w:tc>
          <w:tcPr>
            <w:tcW w:w="846"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0.000</w:t>
            </w:r>
          </w:p>
        </w:tc>
        <w:tc>
          <w:tcPr>
            <w:tcW w:w="951" w:type="dxa"/>
            <w:vAlign w:val="center"/>
          </w:tcPr>
          <w:p>
            <w:pPr>
              <w:keepNext w:val="0"/>
              <w:keepLines w:val="0"/>
              <w:widowControl/>
              <w:suppressLineNumbers w:val="0"/>
              <w:jc w:val="center"/>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-1.000</w:t>
            </w:r>
          </w:p>
        </w:tc>
        <w:tc>
          <w:tcPr>
            <w:tcW w:w="531"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0.003</w:t>
            </w:r>
          </w:p>
        </w:tc>
        <w:tc>
          <w:tcPr>
            <w:tcW w:w="847" w:type="dxa"/>
            <w:vAlign w:val="center"/>
          </w:tcPr>
          <w:p>
            <w:pPr>
              <w:spacing w:line="360" w:lineRule="auto"/>
              <w:jc w:val="center"/>
              <w:rPr>
                <w:rFonts w:hint="default"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1132.560</w:t>
            </w:r>
          </w:p>
        </w:tc>
        <w:tc>
          <w:tcPr>
            <w:tcW w:w="317" w:type="dxa"/>
            <w:vAlign w:val="center"/>
          </w:tcPr>
          <w:p>
            <w:pPr>
              <w:spacing w:line="360" w:lineRule="auto"/>
              <w:jc w:val="center"/>
              <w:rPr>
                <w:rFonts w:hint="eastAsia" w:ascii="宋体" w:hAnsi="宋体" w:eastAsia="宋体" w:cs="宋体"/>
                <w:color w:val="000000"/>
                <w:kern w:val="0"/>
                <w:sz w:val="21"/>
                <w:szCs w:val="21"/>
                <w:highlight w:val="none"/>
                <w:lang w:val="en-US" w:eastAsia="zh-CN" w:bidi="ar"/>
              </w:rPr>
            </w:pPr>
            <w:r>
              <w:rPr>
                <w:rFonts w:hint="eastAsia" w:ascii="仿宋" w:hAnsi="仿宋" w:eastAsia="仿宋" w:cs="宋体"/>
                <w:color w:val="000000"/>
                <w:kern w:val="0"/>
                <w:szCs w:val="21"/>
                <w:highlight w:val="none"/>
              </w:rPr>
              <w:t>0</w:t>
            </w:r>
          </w:p>
        </w:tc>
        <w:tc>
          <w:tcPr>
            <w:tcW w:w="847" w:type="dxa"/>
            <w:vAlign w:val="center"/>
          </w:tcPr>
          <w:p>
            <w:pPr>
              <w:spacing w:line="360" w:lineRule="auto"/>
              <w:jc w:val="center"/>
              <w:rPr>
                <w:rFonts w:hint="eastAsia" w:ascii="宋体" w:hAnsi="宋体" w:eastAsia="宋体" w:cs="宋体"/>
                <w:i w:val="0"/>
                <w:color w:val="000000"/>
                <w:kern w:val="0"/>
                <w:sz w:val="21"/>
                <w:szCs w:val="21"/>
                <w:highlight w:val="none"/>
                <w:u w:val="none"/>
                <w:lang w:val="en-US" w:eastAsia="zh-CN" w:bidi="ar"/>
              </w:rPr>
            </w:pPr>
            <w:r>
              <w:rPr>
                <w:rFonts w:hint="eastAsia" w:ascii="仿宋" w:hAnsi="仿宋" w:eastAsia="仿宋" w:cs="宋体"/>
                <w:color w:val="000000"/>
                <w:kern w:val="0"/>
                <w:szCs w:val="21"/>
                <w:highlight w:val="none"/>
              </w:rPr>
              <w:t>0</w:t>
            </w:r>
          </w:p>
        </w:tc>
      </w:tr>
    </w:tbl>
    <w:p>
      <w:pPr>
        <w:keepNext w:val="0"/>
        <w:keepLines w:val="0"/>
        <w:pageBreakBefore w:val="0"/>
        <w:widowControl/>
        <w:kinsoku/>
        <w:wordWrap/>
        <w:overflowPunct/>
        <w:topLinePunct w:val="0"/>
        <w:autoSpaceDE/>
        <w:autoSpaceDN/>
        <w:bidi w:val="0"/>
        <w:adjustRightInd/>
        <w:snapToGrid/>
        <w:spacing w:before="157" w:beforeLines="50"/>
        <w:ind w:left="-107" w:leftChars="-51" w:right="-107" w:rightChars="-51"/>
        <w:jc w:val="left"/>
        <w:textAlignment w:val="auto"/>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备注：</w:t>
      </w:r>
      <w:r>
        <w:rPr>
          <w:rFonts w:hint="eastAsia" w:ascii="宋体" w:hAnsi="宋体" w:cs="宋体"/>
          <w:kern w:val="0"/>
          <w:highlight w:val="none"/>
        </w:rPr>
        <w:t>减少的停电时间</w:t>
      </w:r>
      <w:r>
        <w:rPr>
          <w:rFonts w:hint="eastAsia" w:ascii="宋体" w:hAnsi="宋体" w:cs="宋体"/>
          <w:kern w:val="0"/>
          <w:highlight w:val="none"/>
          <w:lang w:val="en-US" w:eastAsia="zh-CN"/>
        </w:rPr>
        <w:t>=对应的作业时户数/等效用户数，需计算。</w:t>
      </w:r>
    </w:p>
    <w:p>
      <w:pPr>
        <w:pStyle w:val="12"/>
        <w:rPr>
          <w:rFonts w:hint="eastAsia"/>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bookmarkStart w:id="3" w:name="_Toc503299845"/>
      <w:bookmarkStart w:id="4" w:name="_Toc503299624"/>
      <w:r>
        <w:rPr>
          <w:rFonts w:hint="eastAsia" w:ascii="宋体" w:hAnsi="宋体" w:eastAsia="宋体" w:cs="Times New Roman"/>
          <w:b/>
          <w:bCs/>
          <w:sz w:val="28"/>
          <w:szCs w:val="28"/>
          <w:highlight w:val="none"/>
          <w:lang w:val="en-US" w:eastAsia="zh-CN" w:bidi="ar-SA"/>
        </w:rPr>
        <w:t xml:space="preserve"> </w:t>
      </w:r>
      <w:bookmarkStart w:id="5" w:name="_Toc2824"/>
      <w:bookmarkStart w:id="6" w:name="_Toc23265"/>
      <w:r>
        <w:rPr>
          <w:rFonts w:hint="eastAsia" w:ascii="宋体" w:hAnsi="宋体" w:eastAsia="宋体" w:cs="Times New Roman"/>
          <w:b/>
          <w:bCs/>
          <w:sz w:val="28"/>
          <w:szCs w:val="28"/>
          <w:highlight w:val="none"/>
          <w:lang w:val="en-US" w:eastAsia="zh-CN" w:bidi="ar-SA"/>
        </w:rPr>
        <w:t>供电可靠性基础数据</w:t>
      </w:r>
      <w:bookmarkEnd w:id="3"/>
      <w:bookmarkEnd w:id="5"/>
      <w:bookmarkEnd w:id="6"/>
    </w:p>
    <w:p>
      <w:pPr>
        <w:jc w:val="center"/>
        <w:rPr>
          <w:rFonts w:hint="eastAsia" w:ascii="宋体" w:hAnsi="宋体" w:eastAsia="宋体" w:cs="宋体"/>
          <w:i w:val="0"/>
          <w:color w:val="000000"/>
          <w:kern w:val="0"/>
          <w:sz w:val="20"/>
          <w:szCs w:val="20"/>
          <w:highlight w:val="none"/>
          <w:u w:val="none"/>
          <w:lang w:val="en-US" w:eastAsia="zh-CN" w:bidi="ar"/>
        </w:rPr>
      </w:pPr>
      <w:r>
        <w:rPr>
          <w:rFonts w:hint="eastAsia" w:ascii="黑体" w:hAnsi="黑体" w:eastAsia="黑体" w:cs="黑体"/>
          <w:b w:val="0"/>
          <w:bCs w:val="0"/>
          <w:sz w:val="24"/>
          <w:szCs w:val="24"/>
          <w:highlight w:val="none"/>
          <w:lang w:val="en-US" w:eastAsia="zh-CN"/>
        </w:rPr>
        <w:t xml:space="preserve">表3  </w:t>
      </w:r>
      <w:r>
        <w:rPr>
          <w:rFonts w:hint="eastAsia" w:ascii="黑体" w:hAnsi="黑体" w:eastAsia="黑体" w:cs="黑体"/>
          <w:b w:val="0"/>
          <w:bCs w:val="0"/>
          <w:sz w:val="24"/>
          <w:szCs w:val="24"/>
          <w:highlight w:val="none"/>
        </w:rPr>
        <w:t>供电可靠性基础数据</w:t>
      </w:r>
    </w:p>
    <w:p>
      <w:pPr>
        <w:pStyle w:val="49"/>
        <w:ind w:left="0" w:leftChars="0" w:firstLine="0" w:firstLineChars="0"/>
        <w:jc w:val="right"/>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单位：户、条、km、%、段、户/段</w:t>
      </w:r>
    </w:p>
    <w:tbl>
      <w:tblPr>
        <w:tblStyle w:val="28"/>
        <w:tblW w:w="92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056"/>
        <w:gridCol w:w="894"/>
        <w:gridCol w:w="1056"/>
        <w:gridCol w:w="951"/>
        <w:gridCol w:w="910"/>
        <w:gridCol w:w="945"/>
        <w:gridCol w:w="793"/>
        <w:gridCol w:w="80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单位</w:t>
            </w:r>
          </w:p>
          <w:p>
            <w:pPr>
              <w:widowControl/>
              <w:jc w:val="center"/>
              <w:rPr>
                <w:rFonts w:hint="eastAsia" w:ascii="宋体" w:hAnsi="宋体" w:cs="宋体"/>
                <w:kern w:val="0"/>
                <w:highlight w:val="none"/>
              </w:rPr>
            </w:pPr>
            <w:r>
              <w:rPr>
                <w:rFonts w:hint="eastAsia" w:ascii="宋体" w:hAnsi="宋体" w:cs="宋体"/>
                <w:kern w:val="0"/>
                <w:highlight w:val="none"/>
              </w:rPr>
              <w:t>名称</w:t>
            </w:r>
          </w:p>
        </w:tc>
        <w:tc>
          <w:tcPr>
            <w:tcW w:w="1056"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用户数</w:t>
            </w:r>
          </w:p>
        </w:tc>
        <w:tc>
          <w:tcPr>
            <w:tcW w:w="894"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公用线路条数</w:t>
            </w:r>
          </w:p>
        </w:tc>
        <w:tc>
          <w:tcPr>
            <w:tcW w:w="2007" w:type="dxa"/>
            <w:gridSpan w:val="2"/>
            <w:vAlign w:val="center"/>
          </w:tcPr>
          <w:p>
            <w:pPr>
              <w:widowControl/>
              <w:jc w:val="center"/>
              <w:rPr>
                <w:rFonts w:hint="eastAsia" w:ascii="宋体" w:hAnsi="宋体" w:cs="宋体"/>
                <w:kern w:val="0"/>
                <w:highlight w:val="none"/>
              </w:rPr>
            </w:pPr>
            <w:r>
              <w:rPr>
                <w:rFonts w:hint="eastAsia" w:ascii="宋体" w:hAnsi="宋体" w:cs="宋体"/>
                <w:kern w:val="0"/>
                <w:highlight w:val="none"/>
              </w:rPr>
              <w:t>线路长度</w:t>
            </w:r>
          </w:p>
        </w:tc>
        <w:tc>
          <w:tcPr>
            <w:tcW w:w="910" w:type="dxa"/>
            <w:vMerge w:val="restart"/>
            <w:vAlign w:val="center"/>
          </w:tcPr>
          <w:p>
            <w:pPr>
              <w:widowControl/>
              <w:jc w:val="center"/>
              <w:rPr>
                <w:rFonts w:hint="eastAsia" w:ascii="宋体" w:hAnsi="宋体" w:eastAsia="宋体" w:cs="宋体"/>
                <w:kern w:val="0"/>
                <w:highlight w:val="none"/>
                <w:lang w:eastAsia="zh-CN"/>
              </w:rPr>
            </w:pPr>
            <w:r>
              <w:rPr>
                <w:rFonts w:hint="eastAsia" w:ascii="宋体" w:hAnsi="宋体" w:cs="宋体"/>
                <w:kern w:val="0"/>
                <w:highlight w:val="none"/>
              </w:rPr>
              <w:t>线路绝缘化率</w:t>
            </w:r>
          </w:p>
        </w:tc>
        <w:tc>
          <w:tcPr>
            <w:tcW w:w="945"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架空线</w:t>
            </w:r>
          </w:p>
          <w:p>
            <w:pPr>
              <w:widowControl/>
              <w:jc w:val="center"/>
              <w:rPr>
                <w:rFonts w:hint="eastAsia" w:ascii="宋体" w:hAnsi="宋体" w:cs="宋体"/>
                <w:kern w:val="0"/>
                <w:highlight w:val="none"/>
              </w:rPr>
            </w:pPr>
            <w:r>
              <w:rPr>
                <w:rFonts w:hint="eastAsia" w:ascii="宋体" w:hAnsi="宋体" w:cs="宋体"/>
                <w:kern w:val="0"/>
                <w:highlight w:val="none"/>
              </w:rPr>
              <w:t>路绝缘</w:t>
            </w:r>
          </w:p>
          <w:p>
            <w:pPr>
              <w:widowControl/>
              <w:jc w:val="center"/>
              <w:rPr>
                <w:rFonts w:ascii="宋体" w:hAnsi="宋体" w:cs="宋体"/>
                <w:kern w:val="0"/>
                <w:highlight w:val="none"/>
              </w:rPr>
            </w:pPr>
            <w:r>
              <w:rPr>
                <w:rFonts w:hint="eastAsia" w:ascii="宋体" w:hAnsi="宋体" w:cs="宋体"/>
                <w:kern w:val="0"/>
                <w:highlight w:val="none"/>
              </w:rPr>
              <w:t>化率</w:t>
            </w:r>
          </w:p>
        </w:tc>
        <w:tc>
          <w:tcPr>
            <w:tcW w:w="793"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线路电缆化率</w:t>
            </w:r>
          </w:p>
        </w:tc>
        <w:tc>
          <w:tcPr>
            <w:tcW w:w="802"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线路平均分段数</w:t>
            </w:r>
          </w:p>
        </w:tc>
        <w:tc>
          <w:tcPr>
            <w:tcW w:w="967" w:type="dxa"/>
            <w:vMerge w:val="restart"/>
            <w:vAlign w:val="center"/>
          </w:tcPr>
          <w:p>
            <w:pPr>
              <w:widowControl/>
              <w:jc w:val="center"/>
              <w:rPr>
                <w:rFonts w:hint="eastAsia" w:ascii="宋体" w:hAnsi="宋体" w:cs="宋体"/>
                <w:kern w:val="0"/>
                <w:highlight w:val="none"/>
              </w:rPr>
            </w:pPr>
            <w:r>
              <w:rPr>
                <w:rFonts w:hint="eastAsia" w:ascii="宋体" w:hAnsi="宋体" w:cs="宋体"/>
                <w:kern w:val="0"/>
                <w:highlight w:val="none"/>
              </w:rPr>
              <w:t>平均每段线路用户数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Merge w:val="continue"/>
            <w:vAlign w:val="center"/>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94"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1056" w:type="dxa"/>
            <w:vAlign w:val="top"/>
          </w:tcPr>
          <w:p>
            <w:pPr>
              <w:jc w:val="center"/>
              <w:rPr>
                <w:rFonts w:hint="eastAsia" w:ascii="宋体" w:hAnsi="宋体" w:cs="宋体"/>
                <w:kern w:val="0"/>
                <w:highlight w:val="none"/>
              </w:rPr>
            </w:pPr>
            <w:r>
              <w:rPr>
                <w:rFonts w:hint="eastAsia" w:ascii="宋体" w:hAnsi="宋体" w:cs="宋体"/>
                <w:kern w:val="0"/>
                <w:highlight w:val="none"/>
              </w:rPr>
              <w:t>架空</w:t>
            </w:r>
          </w:p>
          <w:p>
            <w:pPr>
              <w:jc w:val="center"/>
              <w:rPr>
                <w:rFonts w:hint="eastAsia" w:ascii="宋体" w:hAnsi="宋体"/>
                <w:highlight w:val="none"/>
              </w:rPr>
            </w:pPr>
            <w:r>
              <w:rPr>
                <w:rFonts w:hint="eastAsia" w:ascii="宋体" w:hAnsi="宋体" w:cs="宋体"/>
                <w:kern w:val="0"/>
                <w:highlight w:val="none"/>
              </w:rPr>
              <w:t>线路</w:t>
            </w:r>
          </w:p>
        </w:tc>
        <w:tc>
          <w:tcPr>
            <w:tcW w:w="951" w:type="dxa"/>
            <w:vAlign w:val="top"/>
          </w:tcPr>
          <w:p>
            <w:pPr>
              <w:jc w:val="center"/>
              <w:rPr>
                <w:rFonts w:hint="eastAsia" w:ascii="宋体" w:hAnsi="宋体" w:cs="宋体"/>
                <w:kern w:val="0"/>
                <w:highlight w:val="none"/>
              </w:rPr>
            </w:pPr>
            <w:r>
              <w:rPr>
                <w:rFonts w:hint="eastAsia" w:ascii="宋体" w:hAnsi="宋体" w:cs="宋体"/>
                <w:kern w:val="0"/>
                <w:highlight w:val="none"/>
              </w:rPr>
              <w:t>电缆线路</w:t>
            </w:r>
          </w:p>
        </w:tc>
        <w:tc>
          <w:tcPr>
            <w:tcW w:w="910"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945" w:type="dxa"/>
            <w:vMerge w:val="continue"/>
            <w:vAlign w:val="center"/>
          </w:tcPr>
          <w:p>
            <w:pPr>
              <w:jc w:val="center"/>
              <w:rPr>
                <w:rFonts w:ascii="宋体" w:hAnsi="宋体" w:cs="宋体"/>
                <w:kern w:val="0"/>
                <w:highlight w:val="none"/>
              </w:rPr>
            </w:pPr>
            <w:r>
              <w:rPr>
                <w:rFonts w:ascii="宋体" w:hAnsi="宋体" w:cs="宋体"/>
                <w:kern w:val="0"/>
                <w:highlight w:val="none"/>
              </w:rPr>
              <w:t>　　</w:t>
            </w:r>
          </w:p>
        </w:tc>
        <w:tc>
          <w:tcPr>
            <w:tcW w:w="793" w:type="dxa"/>
            <w:vMerge w:val="continue"/>
            <w:vAlign w:val="top"/>
          </w:tcPr>
          <w:p>
            <w:pPr>
              <w:widowControl/>
              <w:jc w:val="center"/>
              <w:rPr>
                <w:rFonts w:hint="eastAsia" w:ascii="宋体" w:hAnsi="宋体" w:cs="宋体"/>
                <w:kern w:val="0"/>
                <w:highlight w:val="none"/>
              </w:rPr>
            </w:pPr>
            <w:r>
              <w:rPr>
                <w:rFonts w:hint="eastAsia" w:ascii="宋体" w:hAnsi="宋体" w:cs="宋体"/>
                <w:kern w:val="0"/>
                <w:highlight w:val="none"/>
              </w:rPr>
              <w:t>　　</w:t>
            </w:r>
          </w:p>
        </w:tc>
        <w:tc>
          <w:tcPr>
            <w:tcW w:w="802"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c>
          <w:tcPr>
            <w:tcW w:w="967" w:type="dxa"/>
            <w:vMerge w:val="continue"/>
            <w:vAlign w:val="top"/>
          </w:tcPr>
          <w:p>
            <w:pPr>
              <w:widowControl/>
              <w:jc w:val="center"/>
              <w:rPr>
                <w:rFonts w:hint="eastAsia" w:ascii="宋体" w:hAnsi="宋体" w:cs="宋体"/>
                <w:kern w:val="0"/>
                <w:highlight w:val="none"/>
              </w:rPr>
            </w:pPr>
            <w:r>
              <w:rPr>
                <w:rFonts w:hint="eastAsia" w:ascii="宋体" w:hAnsi="宋体" w:cs="宋体"/>
                <w:i/>
                <w:color w:val="FFFFFF"/>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1056" w:type="dxa"/>
            <w:vAlign w:val="center"/>
          </w:tcPr>
          <w:p>
            <w:pPr>
              <w:keepNext w:val="0"/>
              <w:keepLines w:val="0"/>
              <w:widowControl/>
              <w:suppressLineNumbers w:val="0"/>
              <w:jc w:val="center"/>
              <w:textAlignment w:val="bottom"/>
              <w:rPr>
                <w:rFonts w:hint="eastAsia" w:ascii="宋体" w:hAnsi="宋体" w:eastAsia="宋体" w:cs="宋体"/>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27342</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923</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13125.81</w:t>
            </w:r>
          </w:p>
        </w:tc>
        <w:tc>
          <w:tcPr>
            <w:tcW w:w="951"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2028.57</w:t>
            </w:r>
          </w:p>
        </w:tc>
        <w:tc>
          <w:tcPr>
            <w:tcW w:w="910"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33.80</w:t>
            </w:r>
          </w:p>
        </w:tc>
        <w:tc>
          <w:tcPr>
            <w:tcW w:w="945"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23.59</w:t>
            </w:r>
          </w:p>
        </w:tc>
        <w:tc>
          <w:tcPr>
            <w:tcW w:w="793"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13.</w:t>
            </w:r>
            <w:r>
              <w:rPr>
                <w:rFonts w:hint="eastAsia" w:ascii="宋体" w:hAnsi="宋体" w:cs="宋体"/>
                <w:i w:val="0"/>
                <w:color w:val="000000"/>
                <w:kern w:val="0"/>
                <w:sz w:val="21"/>
                <w:szCs w:val="21"/>
                <w:u w:val="none"/>
                <w:lang w:val="en-US" w:eastAsia="zh-CN" w:bidi="ar"/>
              </w:rPr>
              <w:t>38</w:t>
            </w:r>
            <w:r>
              <w:rPr>
                <w:rFonts w:hint="eastAsia" w:ascii="宋体" w:hAnsi="宋体" w:eastAsia="宋体" w:cs="宋体"/>
                <w:i w:val="0"/>
                <w:color w:val="000000"/>
                <w:kern w:val="0"/>
                <w:sz w:val="21"/>
                <w:szCs w:val="21"/>
                <w:u w:val="none"/>
                <w:lang w:val="en-US" w:eastAsia="zh-CN" w:bidi="ar"/>
              </w:rPr>
              <w:t xml:space="preserve">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3.22</w:t>
            </w:r>
            <w:r>
              <w:rPr>
                <w:rFonts w:hint="eastAsia" w:ascii="宋体" w:hAnsi="宋体" w:eastAsia="宋体" w:cs="宋体"/>
                <w:i w:val="0"/>
                <w:color w:val="000000"/>
                <w:kern w:val="0"/>
                <w:sz w:val="21"/>
                <w:szCs w:val="21"/>
                <w:u w:val="none"/>
                <w:lang w:val="en-US" w:eastAsia="zh-CN" w:bidi="ar"/>
              </w:rPr>
              <w:t xml:space="preserve"> </w:t>
            </w:r>
          </w:p>
        </w:tc>
        <w:tc>
          <w:tcPr>
            <w:tcW w:w="967"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2357</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111</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323.33</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294.38</w:t>
            </w:r>
          </w:p>
        </w:tc>
        <w:tc>
          <w:tcPr>
            <w:tcW w:w="910"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945"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100.00</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47.</w:t>
            </w:r>
            <w:r>
              <w:rPr>
                <w:rFonts w:hint="eastAsia" w:ascii="宋体" w:hAnsi="宋体" w:cs="宋体"/>
                <w:i w:val="0"/>
                <w:color w:val="000000"/>
                <w:kern w:val="0"/>
                <w:sz w:val="21"/>
                <w:szCs w:val="21"/>
                <w:u w:val="none"/>
                <w:lang w:val="en-US" w:eastAsia="zh-CN" w:bidi="ar"/>
              </w:rPr>
              <w:t>46</w:t>
            </w:r>
            <w:r>
              <w:rPr>
                <w:rFonts w:hint="eastAsia" w:ascii="宋体" w:hAnsi="宋体" w:eastAsia="宋体" w:cs="宋体"/>
                <w:i w:val="0"/>
                <w:color w:val="000000"/>
                <w:kern w:val="0"/>
                <w:sz w:val="21"/>
                <w:szCs w:val="21"/>
                <w:u w:val="none"/>
                <w:lang w:val="en-US" w:eastAsia="zh-CN" w:bidi="ar"/>
              </w:rPr>
              <w:t xml:space="preserve"> </w:t>
            </w:r>
          </w:p>
        </w:tc>
        <w:tc>
          <w:tcPr>
            <w:tcW w:w="802"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65</w:t>
            </w:r>
            <w:r>
              <w:rPr>
                <w:rFonts w:hint="eastAsia" w:ascii="宋体" w:hAnsi="宋体" w:eastAsia="宋体" w:cs="宋体"/>
                <w:i w:val="0"/>
                <w:color w:val="000000"/>
                <w:kern w:val="0"/>
                <w:sz w:val="21"/>
                <w:szCs w:val="21"/>
                <w:u w:val="none"/>
                <w:lang w:val="en-US" w:eastAsia="zh-CN" w:bidi="ar"/>
              </w:rPr>
              <w:t xml:space="preserve"> </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2679</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160</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359.98</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285.92</w:t>
            </w:r>
          </w:p>
        </w:tc>
        <w:tc>
          <w:tcPr>
            <w:tcW w:w="910"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96.40</w:t>
            </w:r>
          </w:p>
        </w:tc>
        <w:tc>
          <w:tcPr>
            <w:tcW w:w="945" w:type="dxa"/>
            <w:vAlign w:val="bottom"/>
          </w:tcPr>
          <w:p>
            <w:pPr>
              <w:keepNext w:val="0"/>
              <w:keepLines w:val="0"/>
              <w:widowControl/>
              <w:suppressLineNumbers w:val="0"/>
              <w:jc w:val="right"/>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93.54</w:t>
            </w:r>
          </w:p>
        </w:tc>
        <w:tc>
          <w:tcPr>
            <w:tcW w:w="793" w:type="dxa"/>
            <w:vAlign w:val="center"/>
          </w:tcPr>
          <w:p>
            <w:pPr>
              <w:keepNext w:val="0"/>
              <w:keepLines w:val="0"/>
              <w:widowControl/>
              <w:suppressLineNumbers w:val="0"/>
              <w:jc w:val="center"/>
              <w:textAlignment w:val="center"/>
              <w:rPr>
                <w:rFonts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43.64</w:t>
            </w:r>
            <w:r>
              <w:rPr>
                <w:rFonts w:hint="eastAsia" w:ascii="宋体" w:hAnsi="宋体" w:eastAsia="宋体" w:cs="宋体"/>
                <w:i w:val="0"/>
                <w:color w:val="000000"/>
                <w:kern w:val="0"/>
                <w:sz w:val="21"/>
                <w:szCs w:val="21"/>
                <w:u w:val="none"/>
                <w:lang w:val="en-US" w:eastAsia="zh-CN" w:bidi="ar"/>
              </w:rPr>
              <w:t xml:space="preserve"> </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2.</w:t>
            </w:r>
            <w:r>
              <w:rPr>
                <w:rFonts w:hint="eastAsia" w:ascii="宋体" w:hAnsi="宋体" w:cs="宋体"/>
                <w:i w:val="0"/>
                <w:color w:val="000000"/>
                <w:kern w:val="0"/>
                <w:sz w:val="21"/>
                <w:szCs w:val="21"/>
                <w:u w:val="none"/>
                <w:lang w:val="en-US" w:eastAsia="zh-CN" w:bidi="ar"/>
              </w:rPr>
              <w:t>51</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2568</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90</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390.12</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338.72</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90.00</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81.32</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50.63</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3.42</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478</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8</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305.11</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34.73</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14.64</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4.93</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14.71</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3.62</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971</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43</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489.81</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94.60</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44.15</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33.36</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16.30</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3.35</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1627</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100</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214.79</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310.29</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90.41</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76.56</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57.83</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2.17</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988</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70</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92.61</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180.97</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96.59</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89.92</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66.80</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2.23</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4489</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98</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1394.67</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270.83</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81.05</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77.37</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15.30</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3.96</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3335</w:t>
            </w:r>
          </w:p>
        </w:tc>
        <w:tc>
          <w:tcPr>
            <w:tcW w:w="894"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89</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1792.43</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99.40</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27.24</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23.21</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4.62</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3.84</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3515</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1"/>
                <w:szCs w:val="21"/>
                <w:u w:val="none"/>
                <w:lang w:val="en-US" w:eastAsia="zh-CN" w:bidi="ar"/>
              </w:rPr>
              <w:t>8</w:t>
            </w:r>
            <w:r>
              <w:rPr>
                <w:rFonts w:hint="eastAsia" w:ascii="宋体" w:hAnsi="宋体" w:cs="宋体"/>
                <w:i w:val="0"/>
                <w:color w:val="000000"/>
                <w:kern w:val="0"/>
                <w:sz w:val="21"/>
                <w:szCs w:val="21"/>
                <w:u w:val="none"/>
                <w:lang w:val="en-US" w:eastAsia="zh-CN" w:bidi="ar"/>
              </w:rPr>
              <w:t>9</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2968.33</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41.60</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6.19</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4.87</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1.45</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3.46</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56" w:type="dxa"/>
            <w:vAlign w:val="center"/>
          </w:tcPr>
          <w:p>
            <w:pPr>
              <w:keepNext w:val="0"/>
              <w:keepLines w:val="0"/>
              <w:widowControl/>
              <w:suppressLineNumbers w:val="0"/>
              <w:jc w:val="center"/>
              <w:textAlignment w:val="bottom"/>
              <w:rPr>
                <w:rFonts w:hint="eastAsia" w:ascii="宋体" w:hAnsi="宋体" w:eastAsia="宋体" w:cs="Times New Roman"/>
                <w:kern w:val="2"/>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4284</w:t>
            </w:r>
          </w:p>
        </w:tc>
        <w:tc>
          <w:tcPr>
            <w:tcW w:w="894" w:type="dxa"/>
            <w:vAlign w:val="center"/>
          </w:tcPr>
          <w:p>
            <w:pPr>
              <w:keepNext w:val="0"/>
              <w:keepLines w:val="0"/>
              <w:widowControl/>
              <w:suppressLineNumbers w:val="0"/>
              <w:jc w:val="center"/>
              <w:textAlignment w:val="center"/>
              <w:rPr>
                <w:rFonts w:hint="eastAsia" w:ascii="宋体" w:hAnsi="宋体" w:eastAsia="宋体" w:cs="Times New Roman"/>
                <w:kern w:val="2"/>
                <w:sz w:val="21"/>
                <w:szCs w:val="21"/>
                <w:highlight w:val="none"/>
                <w:lang w:val="en-US" w:eastAsia="zh-CN" w:bidi="ar-SA"/>
              </w:rPr>
            </w:pPr>
            <w:r>
              <w:rPr>
                <w:rFonts w:hint="eastAsia" w:ascii="宋体" w:hAnsi="宋体" w:cs="宋体"/>
                <w:i w:val="0"/>
                <w:color w:val="000000"/>
                <w:kern w:val="0"/>
                <w:sz w:val="21"/>
                <w:szCs w:val="21"/>
                <w:u w:val="none"/>
                <w:lang w:val="en-US" w:eastAsia="zh-CN" w:bidi="ar"/>
              </w:rPr>
              <w:t>65</w:t>
            </w:r>
            <w:r>
              <w:rPr>
                <w:rFonts w:hint="eastAsia" w:ascii="宋体" w:hAnsi="宋体" w:eastAsia="宋体" w:cs="宋体"/>
                <w:i w:val="0"/>
                <w:color w:val="000000"/>
                <w:kern w:val="0"/>
                <w:sz w:val="21"/>
                <w:szCs w:val="21"/>
                <w:u w:val="none"/>
                <w:lang w:val="en-US" w:eastAsia="zh-CN" w:bidi="ar"/>
              </w:rPr>
              <w:t xml:space="preserve"> </w:t>
            </w:r>
          </w:p>
        </w:tc>
        <w:tc>
          <w:tcPr>
            <w:tcW w:w="1056"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4726.40</w:t>
            </w:r>
          </w:p>
        </w:tc>
        <w:tc>
          <w:tcPr>
            <w:tcW w:w="951"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59.55</w:t>
            </w:r>
          </w:p>
        </w:tc>
        <w:tc>
          <w:tcPr>
            <w:tcW w:w="910"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2.13</w:t>
            </w:r>
          </w:p>
        </w:tc>
        <w:tc>
          <w:tcPr>
            <w:tcW w:w="945"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0.90</w:t>
            </w:r>
          </w:p>
        </w:tc>
        <w:tc>
          <w:tcPr>
            <w:tcW w:w="793"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1.32</w:t>
            </w:r>
          </w:p>
        </w:tc>
        <w:tc>
          <w:tcPr>
            <w:tcW w:w="802" w:type="dxa"/>
            <w:vAlign w:val="center"/>
          </w:tcPr>
          <w:p>
            <w:pPr>
              <w:keepNext w:val="0"/>
              <w:keepLines w:val="0"/>
              <w:widowControl/>
              <w:suppressLineNumbers w:val="0"/>
              <w:jc w:val="center"/>
              <w:textAlignment w:val="center"/>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5.65</w:t>
            </w:r>
          </w:p>
        </w:tc>
        <w:tc>
          <w:tcPr>
            <w:tcW w:w="967" w:type="dxa"/>
            <w:vAlign w:val="bottom"/>
          </w:tcPr>
          <w:p>
            <w:pPr>
              <w:keepNext w:val="0"/>
              <w:keepLines w:val="0"/>
              <w:widowControl/>
              <w:suppressLineNumbers w:val="0"/>
              <w:jc w:val="right"/>
              <w:textAlignment w:val="bottom"/>
              <w:rPr>
                <w:rFonts w:hint="default" w:ascii="宋体" w:hAnsi="宋体" w:eastAsia="宋体" w:cs="Times New Roman"/>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10.15</w:t>
            </w:r>
          </w:p>
        </w:tc>
      </w:tr>
    </w:tbl>
    <w:p>
      <w:pPr>
        <w:spacing w:line="312" w:lineRule="auto"/>
        <w:rPr>
          <w:rFonts w:hint="eastAsia" w:ascii="宋体" w:hAnsi="宋体"/>
          <w:sz w:val="24"/>
          <w:szCs w:val="24"/>
          <w:highlight w:val="none"/>
        </w:rPr>
      </w:pPr>
    </w:p>
    <w:p>
      <w:pPr>
        <w:pStyle w:val="49"/>
        <w:ind w:firstLine="480"/>
        <w:rPr>
          <w:rFonts w:hint="eastAsia" w:cs="宋体"/>
          <w:szCs w:val="24"/>
          <w:highlight w:val="none"/>
        </w:rPr>
      </w:pPr>
      <w:r>
        <w:rPr>
          <w:rFonts w:hint="eastAsia" w:cs="宋体"/>
          <w:szCs w:val="24"/>
          <w:highlight w:val="none"/>
        </w:rPr>
        <w:t>分析重点：</w:t>
      </w:r>
      <w:r>
        <w:rPr>
          <w:rFonts w:hint="eastAsia" w:cs="宋体"/>
          <w:color w:val="auto"/>
          <w:szCs w:val="24"/>
          <w:highlight w:val="none"/>
          <w:lang w:eastAsia="zh-CN"/>
        </w:rPr>
        <w:t>同比</w:t>
      </w:r>
      <w:r>
        <w:rPr>
          <w:rFonts w:hint="eastAsia" w:cs="宋体"/>
          <w:color w:val="auto"/>
          <w:szCs w:val="24"/>
          <w:highlight w:val="none"/>
          <w:lang w:val="en-US" w:eastAsia="zh-CN"/>
        </w:rPr>
        <w:t>2022年上半年历史数据，增加用户数922，增加公用线路条数38条，增加架空线路长度309.49，电缆线路长度107.89，增加线路绝缘化率1.8%，增加架空线线路绝缘化率1.79%、增加线路电缆化率0.35%；减少线路平均分段数32.71，平均每段线路用户数8.86，平均每段线路用户数减少0.12，网架结构逐年优化，近几年由于分支分段断路器的不断加装，故障、检修等停电影响用户范围逐渐减小，同时故障下断路器隔离故障能力增强。</w:t>
      </w:r>
    </w:p>
    <w:p>
      <w:pPr>
        <w:pStyle w:val="49"/>
        <w:ind w:firstLine="480"/>
        <w:rPr>
          <w:rFonts w:hint="eastAsia" w:cs="宋体"/>
          <w:szCs w:val="24"/>
          <w:highlight w:val="none"/>
        </w:rPr>
      </w:pPr>
      <w:r>
        <w:rPr>
          <w:rFonts w:hint="eastAsia" w:cs="宋体"/>
          <w:color w:val="auto"/>
          <w:szCs w:val="24"/>
          <w:highlight w:val="none"/>
        </w:rPr>
        <w:t>环网率反映转带能力；</w:t>
      </w:r>
      <w:r>
        <w:rPr>
          <w:rFonts w:hint="eastAsia" w:cs="宋体"/>
          <w:color w:val="auto"/>
          <w:szCs w:val="24"/>
          <w:highlight w:val="none"/>
          <w:lang w:eastAsia="zh-CN"/>
        </w:rPr>
        <w:t>旗县分公司、白云分公司</w:t>
      </w:r>
      <w:r>
        <w:rPr>
          <w:rFonts w:hint="eastAsia" w:cs="宋体"/>
          <w:color w:val="auto"/>
          <w:szCs w:val="24"/>
          <w:highlight w:val="none"/>
        </w:rPr>
        <w:t>农村线路单敷设较多，单条线路过长，大部分处在牧区范围内，</w:t>
      </w:r>
      <w:r>
        <w:rPr>
          <w:rFonts w:hint="eastAsia" w:cs="宋体"/>
          <w:color w:val="auto"/>
          <w:szCs w:val="24"/>
          <w:highlight w:val="none"/>
          <w:lang w:eastAsia="zh-CN"/>
        </w:rPr>
        <w:t>转带能力较弱，</w:t>
      </w:r>
      <w:r>
        <w:rPr>
          <w:rFonts w:hint="eastAsia" w:cs="宋体"/>
          <w:color w:val="auto"/>
          <w:szCs w:val="24"/>
          <w:highlight w:val="none"/>
        </w:rPr>
        <w:t>单电源出线较多，互联互带率虽</w:t>
      </w:r>
      <w:r>
        <w:rPr>
          <w:rFonts w:hint="eastAsia" w:cs="宋体"/>
          <w:color w:val="auto"/>
          <w:szCs w:val="24"/>
          <w:highlight w:val="none"/>
          <w:lang w:eastAsia="zh-CN"/>
        </w:rPr>
        <w:t>高，</w:t>
      </w:r>
      <w:r>
        <w:rPr>
          <w:rFonts w:hint="eastAsia" w:cs="宋体"/>
          <w:color w:val="auto"/>
          <w:szCs w:val="24"/>
          <w:highlight w:val="none"/>
        </w:rPr>
        <w:t>但前转带能力不足，加强电网规划，增加线路联络开关及联络计量，加大联络线段导线截面积，合理布局分级分段智能断路器，做好线路分段保护工作。目前公司根据专项改造项目施工正在逐年优化线路。</w:t>
      </w:r>
    </w:p>
    <w:bookmarkEnd w:id="4"/>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cs="宋体"/>
          <w:b/>
          <w:bCs/>
          <w:kern w:val="2"/>
          <w:sz w:val="24"/>
          <w:szCs w:val="24"/>
          <w:lang w:val="en-US" w:eastAsia="zh-CN" w:bidi="ar-SA"/>
        </w:rPr>
      </w:pPr>
      <w:r>
        <w:rPr>
          <w:rFonts w:hint="eastAsia" w:ascii="宋体" w:hAnsi="宋体" w:eastAsia="宋体" w:cs="Times New Roman"/>
          <w:b/>
          <w:bCs/>
          <w:sz w:val="28"/>
          <w:szCs w:val="28"/>
          <w:lang w:val="en-US" w:eastAsia="zh-CN" w:bidi="ar-SA"/>
        </w:rPr>
        <w:t xml:space="preserve"> 停电</w:t>
      </w:r>
      <w:r>
        <w:rPr>
          <w:rFonts w:hint="eastAsia" w:ascii="宋体" w:hAnsi="宋体" w:cs="Times New Roman"/>
          <w:b/>
          <w:bCs/>
          <w:sz w:val="28"/>
          <w:szCs w:val="28"/>
          <w:lang w:val="en-US" w:eastAsia="zh-CN" w:bidi="ar-SA"/>
        </w:rPr>
        <w:t>责任</w:t>
      </w:r>
      <w:r>
        <w:rPr>
          <w:rFonts w:hint="eastAsia" w:ascii="宋体" w:hAnsi="宋体" w:eastAsia="宋体" w:cs="Times New Roman"/>
          <w:b/>
          <w:bCs/>
          <w:sz w:val="28"/>
          <w:szCs w:val="28"/>
          <w:lang w:val="en-US" w:eastAsia="zh-CN" w:bidi="ar-SA"/>
        </w:rPr>
        <w:t>原因分析</w:t>
      </w:r>
    </w:p>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7" w:name="_Toc25635"/>
      <w:r>
        <w:rPr>
          <w:rFonts w:hint="eastAsia" w:ascii="宋体" w:hAnsi="宋体" w:cs="宋体"/>
          <w:b/>
          <w:bCs/>
          <w:kern w:val="2"/>
          <w:sz w:val="24"/>
          <w:szCs w:val="24"/>
          <w:lang w:val="en-US" w:eastAsia="zh-CN" w:bidi="ar-SA"/>
        </w:rPr>
        <w:t>责任原因</w:t>
      </w:r>
      <w:r>
        <w:rPr>
          <w:rFonts w:hint="eastAsia" w:ascii="宋体" w:hAnsi="宋体" w:eastAsia="宋体" w:cs="宋体"/>
          <w:b/>
          <w:bCs/>
          <w:kern w:val="2"/>
          <w:sz w:val="24"/>
          <w:szCs w:val="24"/>
          <w:lang w:val="en-US" w:eastAsia="zh-CN" w:bidi="ar-SA"/>
        </w:rPr>
        <w:t>指标</w:t>
      </w:r>
      <w:r>
        <w:rPr>
          <w:rFonts w:hint="eastAsia" w:ascii="宋体" w:hAnsi="宋体" w:cs="宋体"/>
          <w:b/>
          <w:bCs/>
          <w:kern w:val="2"/>
          <w:sz w:val="24"/>
          <w:szCs w:val="24"/>
          <w:lang w:val="en-US" w:eastAsia="zh-CN" w:bidi="ar-SA"/>
        </w:rPr>
        <w:t>情况</w:t>
      </w:r>
      <w:bookmarkEnd w:id="7"/>
    </w:p>
    <w:p>
      <w:pPr>
        <w:keepNext w:val="0"/>
        <w:keepLines w:val="0"/>
        <w:pageBreakBefore w:val="0"/>
        <w:widowControl w:val="0"/>
        <w:tabs>
          <w:tab w:val="left" w:pos="1266"/>
          <w:tab w:val="center" w:pos="4596"/>
        </w:tabs>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lang w:val="en-US" w:eastAsia="zh-CN"/>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 xml:space="preserve">4  </w:t>
      </w:r>
      <w:r>
        <w:rPr>
          <w:rFonts w:hint="eastAsia" w:ascii="黑体" w:hAnsi="黑体" w:eastAsia="黑体" w:cs="仿宋"/>
          <w:color w:val="auto"/>
          <w:kern w:val="0"/>
          <w:sz w:val="24"/>
          <w:szCs w:val="24"/>
        </w:rPr>
        <w:t>预安排及故障停电</w:t>
      </w:r>
      <w:r>
        <w:rPr>
          <w:rFonts w:hint="eastAsia" w:ascii="黑体" w:hAnsi="黑体" w:eastAsia="黑体" w:cs="仿宋"/>
          <w:color w:val="auto"/>
          <w:kern w:val="0"/>
          <w:sz w:val="24"/>
          <w:szCs w:val="24"/>
          <w:lang w:val="en-US" w:eastAsia="zh-CN"/>
        </w:rPr>
        <w:t>指标</w:t>
      </w:r>
    </w:p>
    <w:p>
      <w:pPr>
        <w:pageBreakBefore w:val="0"/>
        <w:kinsoku/>
        <w:wordWrap/>
        <w:overflowPunct/>
        <w:topLinePunct w:val="0"/>
        <w:bidi w:val="0"/>
        <w:snapToGrid w:val="0"/>
        <w:spacing w:line="360" w:lineRule="auto"/>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eastAsia="宋体" w:cs="宋体"/>
          <w:i w:val="0"/>
          <w:color w:val="000000"/>
          <w:kern w:val="2"/>
          <w:sz w:val="20"/>
          <w:szCs w:val="20"/>
          <w:highlight w:val="none"/>
          <w:u w:val="none"/>
          <w:lang w:val="en-US" w:eastAsia="zh-CN" w:bidi="ar-SA"/>
        </w:rPr>
        <w:t>次</w:t>
      </w:r>
      <w:r>
        <w:rPr>
          <w:rFonts w:hint="eastAsia" w:ascii="宋体" w:hAnsi="宋体" w:eastAsia="宋体" w:cs="宋体"/>
          <w:i w:val="0"/>
          <w:color w:val="000000"/>
          <w:kern w:val="0"/>
          <w:sz w:val="20"/>
          <w:szCs w:val="20"/>
          <w:highlight w:val="none"/>
          <w:u w:val="none"/>
          <w:lang w:val="en-US" w:eastAsia="zh-CN" w:bidi="ar"/>
        </w:rPr>
        <w:t>/户</w:t>
      </w:r>
    </w:p>
    <w:tbl>
      <w:tblPr>
        <w:tblStyle w:val="28"/>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314"/>
        <w:gridCol w:w="1123"/>
        <w:gridCol w:w="822"/>
        <w:gridCol w:w="1103"/>
        <w:gridCol w:w="856"/>
        <w:gridCol w:w="1125"/>
        <w:gridCol w:w="822"/>
        <w:gridCol w:w="1127"/>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restart"/>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rPr>
              <w:t>单位名称</w:t>
            </w:r>
          </w:p>
        </w:tc>
        <w:tc>
          <w:tcPr>
            <w:tcW w:w="3904" w:type="dxa"/>
            <w:gridSpan w:val="4"/>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kern w:val="0"/>
                <w:sz w:val="21"/>
                <w:szCs w:val="21"/>
                <w:highlight w:val="none"/>
              </w:rPr>
              <w:t>预安排</w:t>
            </w:r>
          </w:p>
        </w:tc>
        <w:tc>
          <w:tcPr>
            <w:tcW w:w="3909" w:type="dxa"/>
            <w:gridSpan w:val="4"/>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blHeader/>
        </w:trPr>
        <w:tc>
          <w:tcPr>
            <w:tcW w:w="1314" w:type="dxa"/>
            <w:vMerge w:val="continue"/>
            <w:vAlign w:val="center"/>
          </w:tcPr>
          <w:p>
            <w:pPr>
              <w:widowControl/>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w:t>
            </w:r>
          </w:p>
        </w:tc>
        <w:tc>
          <w:tcPr>
            <w:tcW w:w="1123" w:type="dxa"/>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1103" w:type="dxa"/>
            <w:vAlign w:val="center"/>
          </w:tcPr>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856" w:type="dxa"/>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c>
          <w:tcPr>
            <w:tcW w:w="1125" w:type="dxa"/>
            <w:vAlign w:val="center"/>
          </w:tcPr>
          <w:p>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平均</w:t>
            </w:r>
            <w:r>
              <w:rPr>
                <w:rFonts w:hint="eastAsia" w:ascii="宋体" w:hAnsi="宋体" w:cs="宋体"/>
                <w:kern w:val="0"/>
                <w:sz w:val="21"/>
                <w:szCs w:val="21"/>
                <w:highlight w:val="none"/>
              </w:rPr>
              <w:t>停电</w:t>
            </w:r>
          </w:p>
          <w:p>
            <w:pPr>
              <w:widowControl/>
              <w:jc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kern w:val="0"/>
                <w:sz w:val="21"/>
                <w:szCs w:val="21"/>
                <w:highlight w:val="none"/>
              </w:rPr>
              <w:t>时间</w:t>
            </w:r>
          </w:p>
        </w:tc>
        <w:tc>
          <w:tcPr>
            <w:tcW w:w="822"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时间</w:t>
            </w:r>
          </w:p>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占比</w:t>
            </w:r>
          </w:p>
        </w:tc>
        <w:tc>
          <w:tcPr>
            <w:tcW w:w="1127" w:type="dxa"/>
            <w:vAlign w:val="center"/>
          </w:tcPr>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eastAsia="zh-CN"/>
              </w:rPr>
              <w:t>平均停电频率</w:t>
            </w:r>
          </w:p>
        </w:tc>
        <w:tc>
          <w:tcPr>
            <w:tcW w:w="835" w:type="dxa"/>
            <w:vAlign w:val="center"/>
          </w:tcPr>
          <w:p>
            <w:pPr>
              <w:widowControl/>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频率</w:t>
            </w:r>
          </w:p>
          <w:p>
            <w:pPr>
              <w:widowControl/>
              <w:jc w:val="center"/>
              <w:rPr>
                <w:rFonts w:hint="eastAsia" w:ascii="Times New Roman" w:hAnsi="Times New Roman" w:eastAsia="宋体" w:cs="Times New Roman"/>
                <w:kern w:val="2"/>
                <w:sz w:val="21"/>
                <w:szCs w:val="21"/>
                <w:highlight w:val="none"/>
                <w:lang w:val="en-US" w:eastAsia="zh-CN" w:bidi="ar-SA"/>
              </w:rPr>
            </w:pPr>
            <w:r>
              <w:rPr>
                <w:rFonts w:hint="eastAsia" w:ascii="宋体" w:hAnsi="宋体" w:cs="宋体"/>
                <w:kern w:val="0"/>
                <w:sz w:val="21"/>
                <w:szCs w:val="21"/>
                <w:highlight w:val="none"/>
                <w:lang w:val="en-US"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2.57</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80.</w:t>
            </w:r>
            <w:r>
              <w:rPr>
                <w:rFonts w:hint="eastAsia" w:ascii="宋体" w:hAnsi="宋体" w:cs="宋体"/>
                <w:i w:val="0"/>
                <w:iCs w:val="0"/>
                <w:color w:val="000000"/>
                <w:kern w:val="0"/>
                <w:sz w:val="21"/>
                <w:szCs w:val="21"/>
                <w:u w:val="none"/>
                <w:lang w:val="en-US" w:eastAsia="zh-CN" w:bidi="ar"/>
              </w:rPr>
              <w:t>31</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0.392</w:t>
            </w:r>
          </w:p>
        </w:tc>
        <w:tc>
          <w:tcPr>
            <w:tcW w:w="856"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u w:val="none"/>
                <w:lang w:val="en-US" w:eastAsia="zh-CN" w:bidi="ar"/>
              </w:rPr>
              <w:t>56.00</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0.63</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19.</w:t>
            </w:r>
            <w:r>
              <w:rPr>
                <w:rFonts w:hint="eastAsia" w:ascii="宋体" w:hAnsi="宋体" w:cs="宋体"/>
                <w:i w:val="0"/>
                <w:iCs w:val="0"/>
                <w:color w:val="000000"/>
                <w:kern w:val="0"/>
                <w:sz w:val="21"/>
                <w:szCs w:val="21"/>
                <w:u w:val="none"/>
                <w:lang w:val="en-US" w:eastAsia="zh-CN" w:bidi="ar"/>
              </w:rPr>
              <w:t>6</w:t>
            </w:r>
            <w:r>
              <w:rPr>
                <w:rFonts w:hint="eastAsia" w:ascii="宋体" w:hAnsi="宋体" w:eastAsia="宋体" w:cs="宋体"/>
                <w:i w:val="0"/>
                <w:iCs w:val="0"/>
                <w:color w:val="000000"/>
                <w:kern w:val="0"/>
                <w:sz w:val="21"/>
                <w:szCs w:val="21"/>
                <w:u w:val="none"/>
                <w:lang w:val="en-US" w:eastAsia="zh-CN" w:bidi="ar"/>
              </w:rPr>
              <w:t>9%</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0.308</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4.00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0.86</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78.89</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0"/>
                <w:szCs w:val="20"/>
                <w:u w:val="none"/>
                <w:lang w:val="en-US" w:eastAsia="zh-CN" w:bidi="ar"/>
              </w:rPr>
              <w:t>0.166</w:t>
            </w:r>
          </w:p>
        </w:tc>
        <w:tc>
          <w:tcPr>
            <w:tcW w:w="856"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cs="宋体"/>
                <w:i w:val="0"/>
                <w:iCs w:val="0"/>
                <w:color w:val="000000"/>
                <w:kern w:val="0"/>
                <w:sz w:val="21"/>
                <w:szCs w:val="21"/>
                <w:u w:val="none"/>
                <w:lang w:val="en-US" w:eastAsia="zh-CN" w:bidi="ar"/>
              </w:rPr>
              <w:t>66.13</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0.23</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21.11</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0.085</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33.87</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0.80</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74.07</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0.132</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CN" w:bidi="ar"/>
              </w:rPr>
              <w:t>3.13</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0.28</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25.93</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0.174</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CN" w:bidi="ar"/>
              </w:rPr>
              <w:t>6.87</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0.95</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65.06</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0.141</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41.10</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0.51</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34.94</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0.202</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58.90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0.02</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3.33</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0.002</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0.58</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96.67</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0.654</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99.70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3.44</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85.78</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0.317</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62.64</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0.57</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14.22</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0.189</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37.36</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0.71</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66.98</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0.098</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30.91</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0.35</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33.02</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0.219</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69.09</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0.43</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51.19</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0.124</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39.49</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0.41</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48.81</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0.190</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60.51</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4.84</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84.02</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0.653</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63.52</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0.92</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15.98</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0.375</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36.48</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1.77</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53.79</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0.202</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25.40</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1.52</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46.21</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0.593</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74.60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4.44</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9</w:t>
            </w:r>
            <w:r>
              <w:rPr>
                <w:rFonts w:hint="eastAsia" w:ascii="宋体" w:hAnsi="宋体" w:cs="宋体"/>
                <w:i w:val="0"/>
                <w:iCs w:val="0"/>
                <w:color w:val="000000"/>
                <w:kern w:val="0"/>
                <w:sz w:val="21"/>
                <w:szCs w:val="21"/>
                <w:u w:val="none"/>
                <w:lang w:val="en-US" w:eastAsia="zh-CN" w:bidi="ar"/>
              </w:rPr>
              <w:t>6.94</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0.575</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w:t>
            </w:r>
            <w:r>
              <w:rPr>
                <w:rFonts w:hint="eastAsia" w:ascii="宋体" w:hAnsi="宋体" w:cs="宋体"/>
                <w:i w:val="0"/>
                <w:iCs w:val="0"/>
                <w:color w:val="000000"/>
                <w:kern w:val="0"/>
                <w:sz w:val="21"/>
                <w:szCs w:val="21"/>
                <w:u w:val="none"/>
                <w:lang w:val="en-US" w:eastAsia="zh-CN" w:bidi="ar"/>
              </w:rPr>
              <w:t>3.57</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0.14</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3.06</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0.113</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16.43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52" w:hRule="atLeast"/>
        </w:trPr>
        <w:tc>
          <w:tcPr>
            <w:tcW w:w="1314"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12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3.77</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83.96</w:t>
            </w:r>
            <w:r>
              <w:rPr>
                <w:rFonts w:hint="eastAsia" w:ascii="宋体" w:hAnsi="宋体" w:eastAsia="宋体" w:cs="宋体"/>
                <w:i w:val="0"/>
                <w:iCs w:val="0"/>
                <w:color w:val="000000"/>
                <w:kern w:val="0"/>
                <w:sz w:val="21"/>
                <w:szCs w:val="21"/>
                <w:u w:val="none"/>
                <w:lang w:val="en-US" w:eastAsia="zh-CN" w:bidi="ar"/>
              </w:rPr>
              <w:t>%</w:t>
            </w:r>
          </w:p>
        </w:tc>
        <w:tc>
          <w:tcPr>
            <w:tcW w:w="1103"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0.811</w:t>
            </w:r>
          </w:p>
        </w:tc>
        <w:tc>
          <w:tcPr>
            <w:tcW w:w="856"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61.71</w:t>
            </w:r>
            <w:r>
              <w:rPr>
                <w:rFonts w:hint="eastAsia" w:ascii="宋体" w:hAnsi="宋体" w:eastAsia="宋体" w:cs="宋体"/>
                <w:i w:val="0"/>
                <w:iCs w:val="0"/>
                <w:color w:val="000000"/>
                <w:kern w:val="0"/>
                <w:sz w:val="21"/>
                <w:szCs w:val="21"/>
                <w:u w:val="none"/>
                <w:lang w:val="en-US" w:eastAsia="zh-CN" w:bidi="ar"/>
              </w:rPr>
              <w:t>%</w:t>
            </w:r>
          </w:p>
        </w:tc>
        <w:tc>
          <w:tcPr>
            <w:tcW w:w="1125"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0.72</w:t>
            </w:r>
          </w:p>
        </w:tc>
        <w:tc>
          <w:tcPr>
            <w:tcW w:w="822"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16.04</w:t>
            </w:r>
            <w:r>
              <w:rPr>
                <w:rFonts w:hint="eastAsia" w:ascii="宋体" w:hAnsi="宋体" w:eastAsia="宋体" w:cs="宋体"/>
                <w:i w:val="0"/>
                <w:iCs w:val="0"/>
                <w:color w:val="000000"/>
                <w:kern w:val="0"/>
                <w:sz w:val="21"/>
                <w:szCs w:val="21"/>
                <w:u w:val="none"/>
                <w:lang w:val="en-US" w:eastAsia="zh-CN" w:bidi="ar"/>
              </w:rPr>
              <w:t>%</w:t>
            </w:r>
          </w:p>
        </w:tc>
        <w:tc>
          <w:tcPr>
            <w:tcW w:w="1127" w:type="dxa"/>
            <w:vAlign w:val="center"/>
          </w:tcPr>
          <w:p>
            <w:pPr>
              <w:keepNext w:val="0"/>
              <w:keepLines w:val="0"/>
              <w:widowControl/>
              <w:suppressLineNumbers w:val="0"/>
              <w:jc w:val="center"/>
              <w:textAlignment w:val="bottom"/>
              <w:rPr>
                <w:rFonts w:hint="eastAsia" w:ascii="宋体" w:hAnsi="宋体" w:cs="宋体"/>
                <w:kern w:val="0"/>
                <w:sz w:val="21"/>
                <w:szCs w:val="21"/>
                <w:highlight w:val="none"/>
              </w:rPr>
            </w:pPr>
            <w:r>
              <w:rPr>
                <w:rFonts w:hint="eastAsia" w:ascii="宋体" w:hAnsi="宋体" w:eastAsia="宋体" w:cs="宋体"/>
                <w:i w:val="0"/>
                <w:color w:val="000000"/>
                <w:kern w:val="0"/>
                <w:sz w:val="20"/>
                <w:szCs w:val="20"/>
                <w:u w:val="none"/>
                <w:lang w:val="en-US" w:eastAsia="zh-CN" w:bidi="ar"/>
              </w:rPr>
              <w:t>0.503</w:t>
            </w:r>
          </w:p>
        </w:tc>
        <w:tc>
          <w:tcPr>
            <w:tcW w:w="835" w:type="dxa"/>
            <w:vAlign w:val="center"/>
          </w:tcPr>
          <w:p>
            <w:pPr>
              <w:keepNext w:val="0"/>
              <w:keepLines w:val="0"/>
              <w:widowControl/>
              <w:suppressLineNumbers w:val="0"/>
              <w:jc w:val="center"/>
              <w:textAlignment w:val="center"/>
              <w:rPr>
                <w:rFonts w:hint="eastAsia"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38.29</w:t>
            </w:r>
            <w:r>
              <w:rPr>
                <w:rFonts w:hint="eastAsia" w:ascii="宋体" w:hAnsi="宋体" w:eastAsia="宋体" w:cs="宋体"/>
                <w:i w:val="0"/>
                <w:iCs w:val="0"/>
                <w:color w:val="000000"/>
                <w:kern w:val="0"/>
                <w:sz w:val="21"/>
                <w:szCs w:val="21"/>
                <w:u w:val="none"/>
                <w:lang w:val="en-US" w:eastAsia="zh-CN" w:bidi="ar"/>
              </w:rPr>
              <w:t>%</w:t>
            </w:r>
          </w:p>
        </w:tc>
      </w:tr>
    </w:tbl>
    <w:p>
      <w:pPr>
        <w:keepNext w:val="0"/>
        <w:keepLines w:val="0"/>
        <w:pageBreakBefore w:val="0"/>
        <w:widowControl w:val="0"/>
        <w:kinsoku/>
        <w:wordWrap/>
        <w:overflowPunct/>
        <w:topLinePunct w:val="0"/>
        <w:autoSpaceDE/>
        <w:autoSpaceDN/>
        <w:bidi w:val="0"/>
        <w:adjustRightInd/>
        <w:snapToGrid w:val="0"/>
        <w:spacing w:after="156" w:afterLines="50" w:line="312" w:lineRule="auto"/>
        <w:jc w:val="both"/>
        <w:textAlignment w:val="auto"/>
        <w:outlineLvl w:val="9"/>
        <w:rPr>
          <w:rFonts w:hint="eastAsia" w:ascii="黑体" w:hAnsi="黑体" w:eastAsia="黑体" w:cs="Times New Roman"/>
          <w:sz w:val="24"/>
          <w:szCs w:val="24"/>
        </w:rPr>
      </w:pPr>
    </w:p>
    <w:p>
      <w:pPr>
        <w:pStyle w:val="4"/>
        <w:keepNext/>
        <w:keepLines/>
        <w:pageBreakBefore w:val="0"/>
        <w:widowControl w:val="0"/>
        <w:numPr>
          <w:ilvl w:val="1"/>
          <w:numId w:val="4"/>
        </w:numPr>
        <w:kinsoku/>
        <w:wordWrap/>
        <w:overflowPunct/>
        <w:topLinePunct w:val="0"/>
        <w:autoSpaceDE/>
        <w:autoSpaceDN/>
        <w:bidi w:val="0"/>
        <w:adjustRightInd/>
        <w:snapToGrid/>
        <w:spacing w:before="0" w:after="0" w:line="312" w:lineRule="auto"/>
        <w:ind w:left="0" w:leftChars="0"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 xml:space="preserve"> </w:t>
      </w:r>
      <w:bookmarkStart w:id="8" w:name="_Toc803"/>
      <w:bookmarkStart w:id="9" w:name="_Toc25637"/>
      <w:r>
        <w:rPr>
          <w:rFonts w:hint="eastAsia" w:ascii="宋体" w:hAnsi="宋体" w:eastAsia="宋体" w:cs="宋体"/>
          <w:b/>
          <w:bCs/>
          <w:kern w:val="2"/>
          <w:sz w:val="24"/>
          <w:szCs w:val="24"/>
          <w:lang w:val="en-US" w:eastAsia="zh-CN" w:bidi="ar-SA"/>
        </w:rPr>
        <w:t>预安排停电责任原因分析</w:t>
      </w:r>
      <w:bookmarkEnd w:id="8"/>
      <w:bookmarkEnd w:id="9"/>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 xml:space="preserve"> </w:t>
      </w:r>
      <w:bookmarkStart w:id="10" w:name="_Toc31559"/>
      <w:r>
        <w:rPr>
          <w:rFonts w:hint="eastAsia" w:ascii="Times New Roman" w:hAnsi="Times New Roman" w:eastAsia="宋体" w:cs="Times New Roman"/>
          <w:b w:val="0"/>
          <w:bCs w:val="0"/>
          <w:color w:val="auto"/>
          <w:kern w:val="2"/>
          <w:sz w:val="24"/>
          <w:szCs w:val="24"/>
          <w:lang w:val="en-US" w:eastAsia="zh-CN" w:bidi="ar-SA"/>
        </w:rPr>
        <w:t>预安排停电指标</w:t>
      </w:r>
      <w:bookmarkEnd w:id="10"/>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5  用户预安排</w:t>
      </w:r>
      <w:r>
        <w:rPr>
          <w:rFonts w:hint="eastAsia" w:ascii="黑体" w:hAnsi="黑体" w:eastAsia="黑体" w:cs="仿宋"/>
          <w:color w:val="auto"/>
          <w:kern w:val="0"/>
          <w:sz w:val="24"/>
          <w:szCs w:val="24"/>
        </w:rPr>
        <w:t>停电</w:t>
      </w:r>
      <w:r>
        <w:rPr>
          <w:rFonts w:hint="eastAsia" w:ascii="黑体" w:hAnsi="黑体" w:eastAsia="黑体" w:cs="仿宋"/>
          <w:color w:val="auto"/>
          <w:kern w:val="0"/>
          <w:sz w:val="24"/>
          <w:szCs w:val="24"/>
          <w:lang w:val="en-US" w:eastAsia="zh-CN"/>
        </w:rPr>
        <w:t>指标</w:t>
      </w:r>
      <w:r>
        <w:rPr>
          <w:rFonts w:hint="eastAsia" w:ascii="黑体" w:hAnsi="黑体" w:eastAsia="黑体" w:cs="仿宋"/>
          <w:color w:val="auto"/>
          <w:kern w:val="0"/>
          <w:sz w:val="24"/>
          <w:szCs w:val="24"/>
        </w:rPr>
        <w:t>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983"/>
        <w:gridCol w:w="1056"/>
        <w:gridCol w:w="1071"/>
        <w:gridCol w:w="1056"/>
        <w:gridCol w:w="1057"/>
        <w:gridCol w:w="1056"/>
        <w:gridCol w:w="1050"/>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widowControl/>
              <w:jc w:val="center"/>
              <w:rPr>
                <w:rFonts w:hint="eastAsia" w:ascii="宋体" w:hAnsi="宋体" w:cs="宋体"/>
                <w:color w:val="auto"/>
                <w:kern w:val="0"/>
              </w:rPr>
            </w:pPr>
            <w:r>
              <w:rPr>
                <w:rFonts w:hint="eastAsia" w:ascii="宋体" w:hAnsi="宋体" w:cs="宋体"/>
                <w:color w:val="auto"/>
                <w:kern w:val="0"/>
              </w:rPr>
              <w:t>单位</w:t>
            </w:r>
          </w:p>
        </w:tc>
        <w:tc>
          <w:tcPr>
            <w:tcW w:w="983" w:type="dxa"/>
            <w:vAlign w:val="center"/>
          </w:tcPr>
          <w:p>
            <w:pPr>
              <w:widowControl/>
              <w:jc w:val="center"/>
              <w:rPr>
                <w:rFonts w:hint="default" w:ascii="宋体" w:hAnsi="宋体" w:cs="宋体"/>
                <w:color w:val="auto"/>
                <w:kern w:val="0"/>
                <w:lang w:val="en-US"/>
              </w:rPr>
            </w:pPr>
            <w:r>
              <w:rPr>
                <w:rFonts w:hint="eastAsia" w:ascii="宋体" w:hAnsi="宋体" w:cs="宋体"/>
                <w:color w:val="auto"/>
                <w:kern w:val="0"/>
              </w:rPr>
              <w:t>平均停电时间</w:t>
            </w:r>
          </w:p>
        </w:tc>
        <w:tc>
          <w:tcPr>
            <w:tcW w:w="1056" w:type="dxa"/>
            <w:vAlign w:val="center"/>
          </w:tcPr>
          <w:p>
            <w:pPr>
              <w:widowControl/>
              <w:jc w:val="center"/>
              <w:rPr>
                <w:rFonts w:hint="default" w:ascii="宋体" w:hAnsi="宋体" w:cs="宋体"/>
                <w:color w:val="auto"/>
                <w:kern w:val="0"/>
                <w:lang w:val="en-US"/>
              </w:rPr>
            </w:pPr>
            <w:r>
              <w:rPr>
                <w:rFonts w:hint="eastAsia" w:ascii="宋体" w:hAnsi="宋体" w:cs="宋体"/>
                <w:color w:val="auto"/>
                <w:kern w:val="0"/>
                <w:lang w:eastAsia="zh-CN"/>
              </w:rPr>
              <w:t>降幅</w:t>
            </w:r>
          </w:p>
        </w:tc>
        <w:tc>
          <w:tcPr>
            <w:tcW w:w="1071"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rPr>
              <w:t>平均停电</w:t>
            </w:r>
            <w:r>
              <w:rPr>
                <w:rFonts w:hint="eastAsia" w:ascii="宋体" w:hAnsi="宋体" w:cs="宋体"/>
                <w:color w:val="auto"/>
                <w:kern w:val="0"/>
                <w:lang w:val="en-US" w:eastAsia="zh-CN"/>
              </w:rPr>
              <w:t>频率</w:t>
            </w:r>
          </w:p>
        </w:tc>
        <w:tc>
          <w:tcPr>
            <w:tcW w:w="1056"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eastAsia="zh-CN"/>
              </w:rPr>
              <w:t>降幅</w:t>
            </w:r>
          </w:p>
        </w:tc>
        <w:tc>
          <w:tcPr>
            <w:tcW w:w="1057"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w:t>
            </w:r>
            <w:r>
              <w:rPr>
                <w:rFonts w:hint="eastAsia" w:ascii="宋体" w:hAnsi="宋体" w:cs="宋体"/>
                <w:color w:val="auto"/>
                <w:kern w:val="0"/>
              </w:rPr>
              <w:t>停电持续时间</w:t>
            </w:r>
          </w:p>
        </w:tc>
        <w:tc>
          <w:tcPr>
            <w:tcW w:w="1056" w:type="dxa"/>
            <w:vAlign w:val="center"/>
          </w:tcPr>
          <w:p>
            <w:pPr>
              <w:widowControl/>
              <w:jc w:val="center"/>
              <w:rPr>
                <w:rFonts w:hint="default" w:ascii="宋体" w:hAnsi="宋体" w:cs="宋体"/>
                <w:color w:val="auto"/>
                <w:kern w:val="0"/>
                <w:lang w:val="en-US" w:eastAsia="zh-CN"/>
              </w:rPr>
            </w:pPr>
            <w:r>
              <w:rPr>
                <w:rFonts w:hint="eastAsia" w:ascii="宋体" w:hAnsi="宋体" w:cs="宋体"/>
                <w:color w:val="auto"/>
                <w:kern w:val="0"/>
                <w:lang w:val="en-US" w:eastAsia="zh-CN"/>
              </w:rPr>
              <w:t>同比</w:t>
            </w:r>
          </w:p>
        </w:tc>
        <w:tc>
          <w:tcPr>
            <w:tcW w:w="1050"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平均停电用户数</w:t>
            </w:r>
          </w:p>
        </w:tc>
        <w:tc>
          <w:tcPr>
            <w:tcW w:w="965" w:type="dxa"/>
            <w:vAlign w:val="center"/>
          </w:tcPr>
          <w:p>
            <w:pPr>
              <w:widowControl/>
              <w:jc w:val="center"/>
              <w:rPr>
                <w:rFonts w:hint="eastAsia" w:ascii="宋体" w:hAnsi="宋体" w:cs="宋体"/>
                <w:color w:val="auto"/>
                <w:kern w:val="0"/>
                <w:lang w:val="en-US" w:eastAsia="zh-CN"/>
              </w:rPr>
            </w:pPr>
            <w:r>
              <w:rPr>
                <w:rFonts w:hint="eastAsia" w:ascii="宋体" w:hAnsi="宋体" w:cs="宋体"/>
                <w:color w:val="auto"/>
                <w:kern w:val="0"/>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2.57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17.62%</w:t>
            </w:r>
          </w:p>
        </w:tc>
        <w:tc>
          <w:tcPr>
            <w:tcW w:w="107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0.701</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-17.22%</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5.02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-0.19</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34.71</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0.86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43.04%</w:t>
            </w:r>
          </w:p>
        </w:tc>
        <w:tc>
          <w:tcPr>
            <w:tcW w:w="107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0"/>
                <w:szCs w:val="20"/>
                <w:u w:val="none"/>
                <w:lang w:val="en-US" w:eastAsia="zh-CN" w:bidi="ar"/>
              </w:rPr>
              <w:t>0.251</w:t>
            </w:r>
          </w:p>
        </w:tc>
        <w:tc>
          <w:tcPr>
            <w:tcW w:w="1056" w:type="dxa"/>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2"/>
                <w:sz w:val="21"/>
                <w:szCs w:val="21"/>
                <w:u w:val="none"/>
                <w:lang w:val="en-US" w:eastAsia="zh-CN" w:bidi="ar-SA"/>
              </w:rPr>
              <w:t>6.34%</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3.68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0.44</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10.23</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eastAsia="宋体" w:cs="宋体"/>
                <w:kern w:val="0"/>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0.80</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32.77%</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0.306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21.13%</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4.52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-0.11</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11.70</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0.95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35.37%</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0.343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8.77%</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3.43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-0.72</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10.36</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0.02</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99.52%</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0.656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44.07%</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8.65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2.63</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38.25</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3.44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-168.75%</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0.506</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-69.79%</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6.64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0.98</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31.40</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0.71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43.2%</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0.317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17.23%</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5.18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0.15</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15.03</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0.43</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43.42%</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0.314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15.86%</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4.31</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-0.46</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14.62</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4.84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14.63%</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1.028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-14.47%</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5.78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-2.37</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51.33</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6.76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1.77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58.05%</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0.795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4.21%</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8.55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1.91</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52.64</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4.44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-95.59%</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0.688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-20.06%</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7.28</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1.54</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60.85</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2" w:type="dxa"/>
            <w:vAlign w:val="center"/>
          </w:tcPr>
          <w:p>
            <w:pPr>
              <w:keepNext w:val="0"/>
              <w:keepLines w:val="0"/>
              <w:widowControl/>
              <w:suppressLineNumbers w:val="0"/>
              <w:jc w:val="center"/>
              <w:textAlignment w:val="center"/>
              <w:rPr>
                <w:rFonts w:hint="eastAsia" w:ascii="宋体" w:hAnsi="宋体" w:cs="宋体"/>
                <w:kern w:val="0"/>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983"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3.77</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12.12%</w:t>
            </w:r>
          </w:p>
        </w:tc>
        <w:tc>
          <w:tcPr>
            <w:tcW w:w="1071"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1.314</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-108.57%</w:t>
            </w:r>
          </w:p>
        </w:tc>
        <w:tc>
          <w:tcPr>
            <w:tcW w:w="1057"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6.05</w:t>
            </w:r>
          </w:p>
        </w:tc>
        <w:tc>
          <w:tcPr>
            <w:tcW w:w="1056"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-4.63</w:t>
            </w:r>
          </w:p>
        </w:tc>
        <w:tc>
          <w:tcPr>
            <w:tcW w:w="1050" w:type="dxa"/>
            <w:vAlign w:val="center"/>
          </w:tcPr>
          <w:p>
            <w:pPr>
              <w:keepNext w:val="0"/>
              <w:keepLines w:val="0"/>
              <w:widowControl/>
              <w:suppressLineNumbers w:val="0"/>
              <w:jc w:val="center"/>
              <w:textAlignment w:val="bottom"/>
              <w:rPr>
                <w:rFonts w:hint="eastAsia" w:ascii="宋体" w:hAnsi="宋体" w:cs="宋体"/>
                <w:kern w:val="0"/>
              </w:rPr>
            </w:pPr>
            <w:r>
              <w:rPr>
                <w:rFonts w:hint="eastAsia" w:ascii="宋体" w:hAnsi="宋体" w:eastAsia="宋体" w:cs="宋体"/>
                <w:i w:val="0"/>
                <w:color w:val="000000"/>
                <w:kern w:val="0"/>
                <w:sz w:val="20"/>
                <w:szCs w:val="20"/>
                <w:u w:val="none"/>
                <w:lang w:val="en-US" w:eastAsia="zh-CN" w:bidi="ar"/>
              </w:rPr>
              <w:t>71.68</w:t>
            </w:r>
          </w:p>
        </w:tc>
        <w:tc>
          <w:tcPr>
            <w:tcW w:w="965"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-14.51</w:t>
            </w:r>
          </w:p>
        </w:tc>
      </w:tr>
    </w:tbl>
    <w:p>
      <w:pPr>
        <w:rPr>
          <w:rFonts w:hint="eastAsia"/>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11" w:name="_Toc15524"/>
      <w:r>
        <w:rPr>
          <w:rFonts w:hint="eastAsia" w:ascii="Times New Roman" w:hAnsi="Times New Roman" w:eastAsia="宋体" w:cs="Times New Roman"/>
          <w:b w:val="0"/>
          <w:bCs w:val="0"/>
          <w:color w:val="auto"/>
          <w:kern w:val="2"/>
          <w:sz w:val="24"/>
          <w:szCs w:val="24"/>
          <w:highlight w:val="none"/>
          <w:lang w:val="en-US" w:eastAsia="zh-CN" w:bidi="ar-SA"/>
        </w:rPr>
        <w:t>预安排停电复电时间分布分析</w:t>
      </w:r>
      <w:bookmarkEnd w:id="11"/>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6  预安排</w:t>
      </w:r>
      <w:r>
        <w:rPr>
          <w:rFonts w:hint="eastAsia" w:ascii="黑体" w:hAnsi="黑体" w:eastAsia="黑体" w:cs="Arial"/>
          <w:color w:val="auto"/>
          <w:sz w:val="24"/>
          <w:szCs w:val="24"/>
          <w:highlight w:val="none"/>
        </w:rPr>
        <w:t>停电复电时间</w:t>
      </w:r>
      <w:r>
        <w:rPr>
          <w:rFonts w:hint="eastAsia" w:ascii="黑体" w:hAnsi="黑体" w:eastAsia="黑体" w:cs="Arial"/>
          <w:color w:val="auto"/>
          <w:sz w:val="24"/>
          <w:szCs w:val="24"/>
          <w:highlight w:val="none"/>
          <w:lang w:val="en-US" w:eastAsia="zh-CN"/>
        </w:rPr>
        <w:t>分布情况</w:t>
      </w:r>
    </w:p>
    <w:p>
      <w:pPr>
        <w:widowControl/>
        <w:jc w:val="right"/>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8"/>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停电时间/小时</w:t>
            </w:r>
          </w:p>
        </w:tc>
        <w:tc>
          <w:tcPr>
            <w:tcW w:w="2944"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次数</w:t>
            </w:r>
          </w:p>
        </w:tc>
        <w:tc>
          <w:tcPr>
            <w:tcW w:w="2941"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12.38</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1&lt;x≤2</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38</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12.06</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2&lt;x≤3</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36</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11.42</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3&lt;x≤4</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11.11</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4&lt;x≤5</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20</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5&lt;x≤6</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4.12</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6&lt;x≤7</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6.03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7&lt;x≤8</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7.93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8&lt;x≤9</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38</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12.06</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9&lt;x</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52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16.50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315</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pStyle w:val="49"/>
        <w:keepNext w:val="0"/>
        <w:keepLines w:val="0"/>
        <w:pageBreakBefore w:val="0"/>
        <w:widowControl/>
        <w:numPr>
          <w:numId w:val="0"/>
        </w:numPr>
        <w:tabs>
          <w:tab w:val="left" w:pos="0"/>
        </w:tabs>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kern w:val="0"/>
          <w:sz w:val="21"/>
          <w:szCs w:val="21"/>
          <w:highlight w:val="none"/>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12" w:name="_Toc29747"/>
      <w:r>
        <w:rPr>
          <w:rFonts w:hint="eastAsia" w:ascii="Times New Roman" w:hAnsi="Times New Roman" w:eastAsia="宋体" w:cs="Times New Roman"/>
          <w:b w:val="0"/>
          <w:bCs w:val="0"/>
          <w:color w:val="auto"/>
          <w:kern w:val="2"/>
          <w:sz w:val="24"/>
          <w:szCs w:val="24"/>
          <w:highlight w:val="none"/>
          <w:lang w:val="en-US" w:eastAsia="zh-CN" w:bidi="ar-SA"/>
        </w:rPr>
        <w:t>预安排重复停电分析</w:t>
      </w:r>
      <w:bookmarkEnd w:id="12"/>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表7  预安排重复停电情况（剔除调电）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9281" w:type="dxa"/>
        <w:tblInd w:w="0" w:type="dxa"/>
        <w:tblLayout w:type="fixed"/>
        <w:tblCellMar>
          <w:top w:w="0" w:type="dxa"/>
          <w:left w:w="108" w:type="dxa"/>
          <w:bottom w:w="0" w:type="dxa"/>
          <w:right w:w="108" w:type="dxa"/>
        </w:tblCellMar>
      </w:tblPr>
      <w:tblGrid>
        <w:gridCol w:w="1791"/>
        <w:gridCol w:w="1470"/>
        <w:gridCol w:w="1056"/>
        <w:gridCol w:w="1765"/>
        <w:gridCol w:w="856"/>
        <w:gridCol w:w="1101"/>
        <w:gridCol w:w="1242"/>
      </w:tblGrid>
      <w:tr>
        <w:tblPrEx>
          <w:tblCellMar>
            <w:top w:w="0" w:type="dxa"/>
            <w:left w:w="108" w:type="dxa"/>
            <w:bottom w:w="0" w:type="dxa"/>
            <w:right w:w="108" w:type="dxa"/>
          </w:tblCellMar>
        </w:tblPrEx>
        <w:trPr>
          <w:trHeight w:val="397" w:hRule="atLeast"/>
        </w:trPr>
        <w:tc>
          <w:tcPr>
            <w:tcW w:w="1791" w:type="dxa"/>
            <w:tcBorders>
              <w:top w:val="single" w:color="000000" w:sz="4" w:space="0"/>
              <w:left w:val="single" w:color="000000" w:sz="4" w:space="0"/>
              <w:bottom w:val="single" w:color="auto" w:sz="4" w:space="0"/>
              <w:right w:val="single" w:color="000000" w:sz="4" w:space="0"/>
            </w:tcBorders>
            <w:shd w:val="clear" w:color="000000" w:fill="auto"/>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1470"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105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765"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85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101"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c>
          <w:tcPr>
            <w:tcW w:w="124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停电时间</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1273</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4.6558</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23865.895</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4.6558</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0.87</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color w:val="auto"/>
                <w:kern w:val="0"/>
                <w:highlight w:val="none"/>
                <w:lang w:eastAsia="zh-CN"/>
              </w:rPr>
            </w:pPr>
            <w:r>
              <w:rPr>
                <w:rFonts w:hint="eastAsia" w:ascii="宋体" w:hAnsi="宋体" w:eastAsia="宋体" w:cs="宋体"/>
                <w:i w:val="0"/>
                <w:iCs w:val="0"/>
                <w:color w:val="auto"/>
                <w:kern w:val="0"/>
                <w:sz w:val="21"/>
                <w:szCs w:val="21"/>
                <w:u w:val="none"/>
                <w:lang w:val="en-US" w:eastAsia="zh-CN" w:bidi="ar"/>
              </w:rPr>
              <w:t>包头供电公司东河供电分公司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2</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0849</w:t>
            </w:r>
            <w:r>
              <w:rPr>
                <w:rFonts w:hint="eastAsia" w:ascii="宋体" w:hAnsi="宋体" w:eastAsia="宋体" w:cs="宋体"/>
                <w:i w:val="0"/>
                <w:iCs w:val="0"/>
                <w:color w:val="auto"/>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28.618</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w:t>
            </w:r>
            <w:r>
              <w:rPr>
                <w:rFonts w:hint="eastAsia" w:ascii="宋体" w:hAnsi="宋体" w:cs="宋体"/>
                <w:i w:val="0"/>
                <w:iCs w:val="0"/>
                <w:color w:val="auto"/>
                <w:kern w:val="0"/>
                <w:sz w:val="21"/>
                <w:szCs w:val="21"/>
                <w:u w:val="none"/>
                <w:lang w:val="en-US" w:eastAsia="zh-CN" w:bidi="ar"/>
              </w:rPr>
              <w:t>0849</w:t>
            </w:r>
            <w:r>
              <w:rPr>
                <w:rFonts w:hint="eastAsia" w:ascii="宋体" w:hAnsi="宋体" w:eastAsia="宋体" w:cs="宋体"/>
                <w:i w:val="0"/>
                <w:iCs w:val="0"/>
                <w:color w:val="auto"/>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0.012</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kern w:val="0"/>
                <w:highlight w:val="none"/>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23</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8585</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418.27</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8585</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0.15</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32</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1.2461</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444.22</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1.2461</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0.17</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3</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309</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51</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309</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0.052</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4</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2459</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39.44</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2459</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0.024</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cs="宋体"/>
                <w:i w:val="0"/>
                <w:iCs w:val="0"/>
                <w:color w:val="000000"/>
                <w:kern w:val="0"/>
                <w:sz w:val="21"/>
                <w:szCs w:val="21"/>
                <w:u w:val="none"/>
                <w:lang w:val="en-US" w:eastAsia="zh-CN" w:bidi="ar"/>
              </w:rPr>
              <w:t>6</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6073</w:t>
            </w:r>
            <w:r>
              <w:rPr>
                <w:rFonts w:hint="eastAsia" w:ascii="宋体" w:hAnsi="宋体" w:eastAsia="宋体" w:cs="宋体"/>
                <w:i w:val="0"/>
                <w:iCs w:val="0"/>
                <w:color w:val="000000"/>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highlight w:val="none"/>
                <w:lang w:val="en-US"/>
              </w:rPr>
            </w:pPr>
            <w:r>
              <w:rPr>
                <w:rFonts w:hint="eastAsia" w:ascii="宋体" w:hAnsi="宋体" w:cs="宋体"/>
                <w:i w:val="0"/>
                <w:iCs w:val="0"/>
                <w:color w:val="000000"/>
                <w:kern w:val="0"/>
                <w:sz w:val="21"/>
                <w:szCs w:val="21"/>
                <w:u w:val="none"/>
                <w:lang w:val="en-US" w:eastAsia="zh-CN" w:bidi="ar"/>
              </w:rPr>
              <w:t>18.32</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kern w:val="0"/>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6073</w:t>
            </w:r>
            <w:r>
              <w:rPr>
                <w:rFonts w:hint="eastAsia" w:ascii="宋体" w:hAnsi="宋体" w:eastAsia="宋体" w:cs="宋体"/>
                <w:i w:val="0"/>
                <w:iCs w:val="0"/>
                <w:color w:val="000000"/>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0.018</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包头供电公司九原供电分公司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474</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10.5591</w:t>
            </w:r>
            <w:r>
              <w:rPr>
                <w:rFonts w:hint="eastAsia" w:ascii="宋体" w:hAnsi="宋体" w:eastAsia="宋体" w:cs="宋体"/>
                <w:i w:val="0"/>
                <w:iCs w:val="0"/>
                <w:color w:val="auto"/>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8991.595</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10.5591</w:t>
            </w:r>
            <w:r>
              <w:rPr>
                <w:rFonts w:hint="eastAsia" w:ascii="宋体" w:hAnsi="宋体" w:eastAsia="宋体" w:cs="宋体"/>
                <w:i w:val="0"/>
                <w:iCs w:val="0"/>
                <w:color w:val="auto"/>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2.00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包头供电公司土右供电分公司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0.0%</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0.0%</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0</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0</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包头供电公司固阳供电分公司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166</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4.7226</w:t>
            </w:r>
            <w:r>
              <w:rPr>
                <w:rFonts w:hint="eastAsia" w:ascii="宋体" w:hAnsi="宋体" w:eastAsia="宋体" w:cs="宋体"/>
                <w:i w:val="0"/>
                <w:iCs w:val="0"/>
                <w:color w:val="auto"/>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4627.23</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4.7226</w:t>
            </w:r>
            <w:r>
              <w:rPr>
                <w:rFonts w:hint="eastAsia" w:ascii="宋体" w:hAnsi="宋体" w:eastAsia="宋体" w:cs="宋体"/>
                <w:i w:val="0"/>
                <w:iCs w:val="0"/>
                <w:color w:val="auto"/>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1.31</w:t>
            </w:r>
          </w:p>
        </w:tc>
      </w:tr>
      <w:tr>
        <w:tblPrEx>
          <w:tblCellMar>
            <w:top w:w="0" w:type="dxa"/>
            <w:left w:w="108" w:type="dxa"/>
            <w:bottom w:w="0" w:type="dxa"/>
            <w:right w:w="108" w:type="dxa"/>
          </w:tblCellMar>
        </w:tblPrEx>
        <w:trPr>
          <w:trHeight w:val="397" w:hRule="atLeast"/>
        </w:trPr>
        <w:tc>
          <w:tcPr>
            <w:tcW w:w="1791"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hint="eastAsia" w:ascii="宋体" w:hAnsi="宋体" w:cs="宋体"/>
                <w:color w:val="auto"/>
                <w:kern w:val="0"/>
                <w:highlight w:val="none"/>
              </w:rPr>
            </w:pPr>
            <w:r>
              <w:rPr>
                <w:rFonts w:hint="eastAsia" w:ascii="宋体" w:hAnsi="宋体" w:eastAsia="宋体" w:cs="宋体"/>
                <w:i w:val="0"/>
                <w:iCs w:val="0"/>
                <w:color w:val="auto"/>
                <w:kern w:val="0"/>
                <w:sz w:val="21"/>
                <w:szCs w:val="21"/>
                <w:u w:val="none"/>
                <w:lang w:val="en-US" w:eastAsia="zh-CN" w:bidi="ar"/>
              </w:rPr>
              <w:t>包头供电公司达茂供电分公司</w:t>
            </w:r>
          </w:p>
        </w:tc>
        <w:tc>
          <w:tcPr>
            <w:tcW w:w="1470"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563</w:t>
            </w:r>
          </w:p>
        </w:tc>
        <w:tc>
          <w:tcPr>
            <w:tcW w:w="10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13.1419</w:t>
            </w:r>
            <w:r>
              <w:rPr>
                <w:rFonts w:hint="eastAsia" w:ascii="宋体" w:hAnsi="宋体" w:eastAsia="宋体" w:cs="宋体"/>
                <w:i w:val="0"/>
                <w:iCs w:val="0"/>
                <w:color w:val="auto"/>
                <w:kern w:val="0"/>
                <w:sz w:val="21"/>
                <w:szCs w:val="21"/>
                <w:u w:val="none"/>
                <w:lang w:val="en-US" w:eastAsia="zh-CN" w:bidi="ar"/>
              </w:rPr>
              <w:t>%</w:t>
            </w:r>
          </w:p>
        </w:tc>
        <w:tc>
          <w:tcPr>
            <w:tcW w:w="1765"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cs="宋体"/>
                <w:color w:val="auto"/>
                <w:kern w:val="0"/>
                <w:highlight w:val="none"/>
                <w:lang w:val="en-US"/>
              </w:rPr>
            </w:pPr>
            <w:r>
              <w:rPr>
                <w:rFonts w:hint="eastAsia" w:ascii="宋体" w:hAnsi="宋体" w:cs="宋体"/>
                <w:i w:val="0"/>
                <w:iCs w:val="0"/>
                <w:color w:val="auto"/>
                <w:kern w:val="0"/>
                <w:sz w:val="21"/>
                <w:szCs w:val="21"/>
                <w:u w:val="none"/>
                <w:lang w:val="en-US" w:eastAsia="zh-CN" w:bidi="ar"/>
              </w:rPr>
              <w:t>9247.202</w:t>
            </w:r>
          </w:p>
        </w:tc>
        <w:tc>
          <w:tcPr>
            <w:tcW w:w="856"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ascii="宋体" w:hAnsi="宋体" w:cs="宋体"/>
                <w:color w:val="auto"/>
                <w:kern w:val="0"/>
                <w:highlight w:val="none"/>
              </w:rPr>
            </w:pPr>
            <w:r>
              <w:rPr>
                <w:rFonts w:hint="eastAsia" w:ascii="宋体" w:hAnsi="宋体" w:cs="宋体"/>
                <w:i w:val="0"/>
                <w:iCs w:val="0"/>
                <w:color w:val="auto"/>
                <w:kern w:val="0"/>
                <w:sz w:val="21"/>
                <w:szCs w:val="21"/>
                <w:u w:val="none"/>
                <w:lang w:val="en-US" w:eastAsia="zh-CN" w:bidi="ar"/>
              </w:rPr>
              <w:t>13.1419</w:t>
            </w:r>
            <w:r>
              <w:rPr>
                <w:rFonts w:hint="eastAsia" w:ascii="宋体" w:hAnsi="宋体" w:eastAsia="宋体" w:cs="宋体"/>
                <w:i w:val="0"/>
                <w:iCs w:val="0"/>
                <w:color w:val="auto"/>
                <w:kern w:val="0"/>
                <w:sz w:val="21"/>
                <w:szCs w:val="21"/>
                <w:u w:val="none"/>
                <w:lang w:val="en-US" w:eastAsia="zh-CN" w:bidi="ar"/>
              </w:rPr>
              <w:t>%</w:t>
            </w:r>
          </w:p>
        </w:tc>
        <w:tc>
          <w:tcPr>
            <w:tcW w:w="1101"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4</w:t>
            </w:r>
          </w:p>
        </w:tc>
        <w:tc>
          <w:tcPr>
            <w:tcW w:w="1242" w:type="dxa"/>
            <w:tcBorders>
              <w:top w:val="single" w:color="auto" w:sz="4" w:space="0"/>
              <w:left w:val="single" w:color="auto" w:sz="4" w:space="0"/>
              <w:bottom w:val="single" w:color="auto" w:sz="4" w:space="0"/>
              <w:right w:val="single" w:color="auto" w:sz="4"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2.15</w:t>
            </w:r>
          </w:p>
        </w:tc>
      </w:tr>
    </w:tbl>
    <w:p>
      <w:pPr>
        <w:pStyle w:val="12"/>
        <w:rPr>
          <w:rFonts w:hint="eastAsia"/>
          <w:lang w:val="en-US" w:eastAsia="zh-CN"/>
        </w:rPr>
      </w:pPr>
      <w:bookmarkStart w:id="13" w:name="_Toc29380"/>
      <w:bookmarkStart w:id="14" w:name="_Toc27332"/>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预安排停电原因分类分析</w:t>
      </w:r>
      <w:bookmarkEnd w:id="13"/>
      <w:bookmarkEnd w:id="14"/>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表8  预安排停电责任原因情况</w:t>
      </w:r>
    </w:p>
    <w:p>
      <w:pPr>
        <w:widowControl/>
        <w:jc w:val="right"/>
        <w:rPr>
          <w:rFonts w:hint="default"/>
          <w:lang w:val="en-US"/>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044"/>
        <w:gridCol w:w="933"/>
        <w:gridCol w:w="1250"/>
        <w:gridCol w:w="1262"/>
        <w:gridCol w:w="1112"/>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cs="宋体"/>
                <w:color w:val="auto"/>
                <w:kern w:val="0"/>
                <w:sz w:val="21"/>
                <w:szCs w:val="21"/>
                <w:highlight w:val="none"/>
                <w:lang w:val="en-US" w:eastAsia="zh-CN"/>
              </w:rPr>
              <w:t>码</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933" w:type="dxa"/>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cs="宋体"/>
                <w:color w:val="auto"/>
                <w:kern w:val="0"/>
                <w:lang w:val="en-US" w:eastAsia="zh-CN"/>
              </w:rPr>
              <w:t>停电次数</w:t>
            </w:r>
          </w:p>
        </w:tc>
        <w:tc>
          <w:tcPr>
            <w:tcW w:w="1250"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平均停电时间</w:t>
            </w:r>
          </w:p>
        </w:tc>
        <w:tc>
          <w:tcPr>
            <w:tcW w:w="1262"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rPr>
              <w:t>占</w:t>
            </w:r>
            <w:r>
              <w:rPr>
                <w:rFonts w:hint="eastAsia" w:ascii="宋体" w:hAnsi="宋体" w:cs="宋体"/>
                <w:color w:val="auto"/>
                <w:kern w:val="0"/>
                <w:lang w:val="en-US" w:eastAsia="zh-CN"/>
              </w:rPr>
              <w:t>预安排</w:t>
            </w:r>
            <w:r>
              <w:rPr>
                <w:rFonts w:hint="eastAsia" w:ascii="宋体" w:hAnsi="宋体" w:cs="宋体"/>
                <w:color w:val="auto"/>
                <w:kern w:val="0"/>
              </w:rPr>
              <w:t>停电比例</w:t>
            </w:r>
          </w:p>
        </w:tc>
        <w:tc>
          <w:tcPr>
            <w:tcW w:w="1112" w:type="dxa"/>
            <w:vAlign w:val="center"/>
          </w:tcPr>
          <w:p>
            <w:pPr>
              <w:widowControl/>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lang w:val="en-US" w:eastAsia="zh-CN"/>
              </w:rPr>
              <w:t>停电时间同比</w:t>
            </w:r>
          </w:p>
        </w:tc>
        <w:tc>
          <w:tcPr>
            <w:tcW w:w="1112" w:type="dxa"/>
            <w:vAlign w:val="center"/>
          </w:tcPr>
          <w:p>
            <w:pPr>
              <w:widowControl/>
              <w:jc w:val="center"/>
              <w:rPr>
                <w:rFonts w:hint="default" w:ascii="宋体" w:hAnsi="宋体" w:eastAsia="宋体" w:cs="宋体"/>
                <w:color w:val="auto"/>
                <w:kern w:val="0"/>
                <w:lang w:val="en-US" w:eastAsia="zh-CN"/>
              </w:rPr>
            </w:pPr>
            <w:r>
              <w:rPr>
                <w:rFonts w:hint="eastAsia" w:ascii="宋体" w:hAnsi="宋体" w:cs="宋体"/>
                <w:color w:val="auto"/>
                <w:kern w:val="0"/>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bookmarkStart w:id="15" w:name="_Toc503299629"/>
            <w:r>
              <w:rPr>
                <w:rFonts w:hint="eastAsia" w:ascii="宋体" w:hAnsi="宋体" w:eastAsia="宋体" w:cs="宋体"/>
                <w:color w:val="auto"/>
                <w:kern w:val="0"/>
                <w:sz w:val="21"/>
                <w:szCs w:val="21"/>
                <w:highlight w:val="none"/>
                <w:lang w:val="en-US" w:eastAsia="zh-CN"/>
              </w:rPr>
              <w:t>501</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检修停电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iCs w:val="0"/>
                <w:color w:val="000000"/>
                <w:kern w:val="0"/>
                <w:sz w:val="21"/>
                <w:szCs w:val="21"/>
                <w:u w:val="none"/>
                <w:lang w:val="en-US" w:eastAsia="zh-CN" w:bidi="ar"/>
              </w:rPr>
              <w:t>226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i w:val="0"/>
                <w:iCs w:val="0"/>
                <w:color w:val="000000"/>
                <w:kern w:val="0"/>
                <w:sz w:val="21"/>
                <w:szCs w:val="21"/>
                <w:u w:val="none"/>
                <w:lang w:val="en-US" w:eastAsia="zh-CN" w:bidi="ar"/>
              </w:rPr>
              <w:t>1.3148</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51.15%</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0.3682</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50111、50121</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配网设施检修</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187</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0.5266</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20.48%</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0.1876</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-55.33%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50112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5011</w:t>
            </w:r>
            <w:r>
              <w:rPr>
                <w:rFonts w:hint="eastAsia" w:ascii="宋体" w:hAnsi="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lang w:val="en-US" w:eastAsia="zh-CN"/>
              </w:rPr>
              <w:t>、50122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5012</w:t>
            </w:r>
            <w:r>
              <w:rPr>
                <w:rFonts w:hint="eastAsia" w:ascii="宋体" w:hAnsi="宋体" w:cs="宋体"/>
                <w:b w:val="0"/>
                <w:bCs w:val="0"/>
                <w:color w:val="auto"/>
                <w:kern w:val="0"/>
                <w:sz w:val="21"/>
                <w:szCs w:val="21"/>
                <w:highlight w:val="none"/>
                <w:lang w:val="en-US" w:eastAsia="zh-CN"/>
              </w:rPr>
              <w:t>3</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主网设施检修</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39</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0.7822</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30.43%</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0.1745</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工程停电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80</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1.2213</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47.51%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-0.2819</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50211</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配网工程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52</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0.6827</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26.56%</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-0.3998</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50212</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50217</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主网工程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0.4867</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18.93%</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0.1852</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5023</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业扩工程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0.0045</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0.18%</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-0.0582</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92.82%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5024</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市政工程</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6</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0.0474</w:t>
            </w:r>
          </w:p>
        </w:tc>
        <w:tc>
          <w:tcPr>
            <w:tcW w:w="126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1.84%</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-0.0091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503</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用户申请停电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0.0003</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0.01%</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-0.0035</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92.10%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504</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调电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w:t>
            </w:r>
          </w:p>
        </w:tc>
        <w:tc>
          <w:tcPr>
            <w:tcW w:w="1250" w:type="dxa"/>
            <w:vAlign w:val="center"/>
          </w:tcPr>
          <w:p>
            <w:pPr>
              <w:keepNext w:val="0"/>
              <w:keepLines w:val="0"/>
              <w:widowControl/>
              <w:suppressLineNumbers w:val="0"/>
              <w:jc w:val="center"/>
              <w:textAlignment w:val="center"/>
              <w:rPr>
                <w:rFonts w:hint="default"/>
                <w:lang w:val="en-US" w:eastAsia="zh-CN"/>
              </w:rPr>
            </w:pPr>
            <w:r>
              <w:rPr>
                <w:rFonts w:hint="eastAsia"/>
                <w:lang w:val="en-US" w:eastAsia="zh-CN"/>
              </w:rPr>
              <w:t>0.0000</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-0.0264</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505</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限电</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10</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0.0340</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0.0268</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506</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低压作业影响</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8</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0.0001</w:t>
            </w:r>
          </w:p>
        </w:tc>
        <w:tc>
          <w:tcPr>
            <w:tcW w:w="126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0.00%</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-0.006</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98.36%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2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50</w:t>
            </w:r>
          </w:p>
        </w:tc>
        <w:tc>
          <w:tcPr>
            <w:tcW w:w="2044"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预安排合计</w:t>
            </w:r>
          </w:p>
        </w:tc>
        <w:tc>
          <w:tcPr>
            <w:tcW w:w="933"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325</w:t>
            </w:r>
          </w:p>
        </w:tc>
        <w:tc>
          <w:tcPr>
            <w:tcW w:w="1250"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2.5706</w:t>
            </w:r>
          </w:p>
        </w:tc>
        <w:tc>
          <w:tcPr>
            <w:tcW w:w="126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100.00%</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0.0774</w:t>
            </w:r>
          </w:p>
        </w:tc>
        <w:tc>
          <w:tcPr>
            <w:tcW w:w="1112" w:type="dxa"/>
            <w:vAlign w:val="center"/>
          </w:tcPr>
          <w:p>
            <w:pPr>
              <w:keepNext w:val="0"/>
              <w:keepLines w:val="0"/>
              <w:widowControl/>
              <w:suppressLineNumbers w:val="0"/>
              <w:jc w:val="center"/>
              <w:textAlignment w:val="center"/>
              <w:rPr>
                <w:rFonts w:hint="default" w:ascii="宋体" w:hAnsi="宋体" w:eastAsia="宋体" w:cs="宋体"/>
                <w:kern w:val="0"/>
                <w:lang w:val="en-US" w:eastAsia="zh-CN"/>
              </w:rPr>
            </w:pPr>
            <w:r>
              <w:rPr>
                <w:rFonts w:hint="eastAsia" w:ascii="宋体" w:hAnsi="宋体" w:cs="宋体"/>
                <w:kern w:val="0"/>
                <w:lang w:val="en-US" w:eastAsia="zh-CN"/>
              </w:rPr>
              <w:t>-3.10%</w:t>
            </w:r>
          </w:p>
        </w:tc>
      </w:tr>
    </w:tbl>
    <w:p>
      <w:pPr>
        <w:pStyle w:val="12"/>
        <w:rPr>
          <w:rFonts w:hint="eastAsia" w:eastAsia="宋体"/>
          <w:lang w:val="en-US" w:eastAsia="zh-CN"/>
        </w:rPr>
      </w:pPr>
    </w:p>
    <w:p>
      <w:pPr>
        <w:pStyle w:val="4"/>
        <w:keepNext/>
        <w:keepLines/>
        <w:pageBreakBefore w:val="0"/>
        <w:widowControl w:val="0"/>
        <w:numPr>
          <w:ilvl w:val="1"/>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宋体"/>
          <w:b/>
          <w:bCs/>
          <w:kern w:val="2"/>
          <w:sz w:val="24"/>
          <w:szCs w:val="24"/>
          <w:lang w:val="en-US" w:eastAsia="zh-CN" w:bidi="ar-SA"/>
        </w:rPr>
      </w:pPr>
      <w:bookmarkStart w:id="16" w:name="_Toc503299628"/>
      <w:bookmarkStart w:id="17" w:name="_Toc14071"/>
      <w:r>
        <w:rPr>
          <w:rFonts w:hint="eastAsia" w:ascii="宋体" w:hAnsi="宋体" w:eastAsia="宋体" w:cs="宋体"/>
          <w:b/>
          <w:bCs/>
          <w:kern w:val="2"/>
          <w:sz w:val="24"/>
          <w:szCs w:val="24"/>
          <w:lang w:val="en-US" w:eastAsia="zh-CN" w:bidi="ar-SA"/>
        </w:rPr>
        <w:t xml:space="preserve"> </w:t>
      </w:r>
      <w:bookmarkEnd w:id="16"/>
      <w:bookmarkEnd w:id="17"/>
      <w:bookmarkStart w:id="18" w:name="_Toc16073"/>
      <w:bookmarkStart w:id="19" w:name="_Toc17992"/>
      <w:r>
        <w:rPr>
          <w:rFonts w:hint="eastAsia" w:ascii="宋体" w:hAnsi="宋体" w:eastAsia="宋体" w:cs="宋体"/>
          <w:b/>
          <w:bCs/>
          <w:kern w:val="2"/>
          <w:sz w:val="24"/>
          <w:szCs w:val="24"/>
          <w:lang w:val="en-US" w:eastAsia="zh-CN" w:bidi="ar-SA"/>
        </w:rPr>
        <w:t>故障停电责任原因分析</w:t>
      </w:r>
      <w:bookmarkEnd w:id="18"/>
      <w:bookmarkEnd w:id="19"/>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cs="Times New Roman"/>
          <w:b w:val="0"/>
          <w:bCs w:val="0"/>
          <w:color w:val="auto"/>
          <w:kern w:val="2"/>
          <w:sz w:val="24"/>
          <w:szCs w:val="24"/>
          <w:lang w:val="en-US" w:eastAsia="zh-CN" w:bidi="ar-SA"/>
        </w:rPr>
        <w:t xml:space="preserve"> </w:t>
      </w:r>
      <w:bookmarkStart w:id="20" w:name="_Toc11585"/>
      <w:r>
        <w:rPr>
          <w:rFonts w:hint="eastAsia" w:ascii="Times New Roman" w:hAnsi="Times New Roman" w:cs="Times New Roman"/>
          <w:b w:val="0"/>
          <w:bCs w:val="0"/>
          <w:color w:val="auto"/>
          <w:kern w:val="2"/>
          <w:sz w:val="24"/>
          <w:szCs w:val="24"/>
          <w:lang w:val="en-US" w:eastAsia="zh-CN" w:bidi="ar-SA"/>
        </w:rPr>
        <w:t>故障停电指标</w:t>
      </w:r>
      <w:bookmarkEnd w:id="20"/>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eastAsia" w:ascii="黑体" w:hAnsi="黑体" w:eastAsia="黑体" w:cs="仿宋"/>
          <w:color w:val="auto"/>
          <w:kern w:val="0"/>
          <w:sz w:val="24"/>
          <w:szCs w:val="24"/>
        </w:rPr>
      </w:pPr>
      <w:r>
        <w:rPr>
          <w:rFonts w:hint="eastAsia" w:ascii="黑体" w:hAnsi="黑体" w:eastAsia="黑体" w:cs="仿宋"/>
          <w:color w:val="auto"/>
          <w:kern w:val="0"/>
          <w:sz w:val="24"/>
          <w:szCs w:val="24"/>
        </w:rPr>
        <w:t>表</w:t>
      </w:r>
      <w:r>
        <w:rPr>
          <w:rFonts w:hint="eastAsia" w:ascii="黑体" w:hAnsi="黑体" w:eastAsia="黑体" w:cs="仿宋"/>
          <w:color w:val="auto"/>
          <w:kern w:val="0"/>
          <w:sz w:val="24"/>
          <w:szCs w:val="24"/>
          <w:lang w:val="en-US" w:eastAsia="zh-CN"/>
        </w:rPr>
        <w:t>9  用户故障</w:t>
      </w:r>
      <w:r>
        <w:rPr>
          <w:rFonts w:hint="eastAsia" w:ascii="黑体" w:hAnsi="黑体" w:eastAsia="黑体" w:cs="仿宋"/>
          <w:color w:val="auto"/>
          <w:kern w:val="0"/>
          <w:sz w:val="24"/>
          <w:szCs w:val="24"/>
        </w:rPr>
        <w:t>停电</w:t>
      </w:r>
      <w:r>
        <w:rPr>
          <w:rFonts w:hint="eastAsia" w:ascii="黑体" w:hAnsi="黑体" w:eastAsia="黑体" w:cs="仿宋"/>
          <w:color w:val="auto"/>
          <w:kern w:val="0"/>
          <w:sz w:val="24"/>
          <w:szCs w:val="24"/>
          <w:lang w:val="en-US" w:eastAsia="zh-CN"/>
        </w:rPr>
        <w:t>指标</w:t>
      </w:r>
      <w:r>
        <w:rPr>
          <w:rFonts w:hint="eastAsia" w:ascii="黑体" w:hAnsi="黑体" w:eastAsia="黑体" w:cs="仿宋"/>
          <w:color w:val="auto"/>
          <w:kern w:val="0"/>
          <w:sz w:val="24"/>
          <w:szCs w:val="24"/>
        </w:rPr>
        <w:t>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1000"/>
        <w:gridCol w:w="1056"/>
        <w:gridCol w:w="1075"/>
        <w:gridCol w:w="972"/>
        <w:gridCol w:w="1063"/>
        <w:gridCol w:w="1056"/>
        <w:gridCol w:w="108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0" w:type="dxa"/>
            <w:vAlign w:val="center"/>
          </w:tcPr>
          <w:p>
            <w:pPr>
              <w:widowControl/>
              <w:jc w:val="center"/>
              <w:rPr>
                <w:rFonts w:hint="eastAsia" w:ascii="宋体" w:hAnsi="宋体" w:cs="宋体"/>
                <w:color w:val="auto"/>
                <w:kern w:val="0"/>
                <w:sz w:val="21"/>
                <w:szCs w:val="21"/>
              </w:rPr>
            </w:pPr>
            <w:r>
              <w:rPr>
                <w:rFonts w:hint="eastAsia" w:ascii="宋体" w:hAnsi="宋体" w:cs="宋体"/>
                <w:color w:val="auto"/>
                <w:kern w:val="0"/>
                <w:sz w:val="21"/>
                <w:szCs w:val="21"/>
              </w:rPr>
              <w:t>单位</w:t>
            </w:r>
          </w:p>
        </w:tc>
        <w:tc>
          <w:tcPr>
            <w:tcW w:w="1000" w:type="dxa"/>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rPr>
              <w:t>平均停电时间</w:t>
            </w:r>
          </w:p>
        </w:tc>
        <w:tc>
          <w:tcPr>
            <w:tcW w:w="1056" w:type="dxa"/>
            <w:vAlign w:val="center"/>
          </w:tcPr>
          <w:p>
            <w:pPr>
              <w:widowControl/>
              <w:jc w:val="center"/>
              <w:rPr>
                <w:rFonts w:hint="default" w:ascii="宋体" w:hAnsi="宋体" w:cs="宋体"/>
                <w:color w:val="auto"/>
                <w:kern w:val="0"/>
                <w:sz w:val="21"/>
                <w:szCs w:val="21"/>
                <w:lang w:val="en-US"/>
              </w:rPr>
            </w:pPr>
            <w:r>
              <w:rPr>
                <w:rFonts w:hint="eastAsia" w:ascii="宋体" w:hAnsi="宋体" w:cs="宋体"/>
                <w:color w:val="auto"/>
                <w:kern w:val="0"/>
                <w:sz w:val="21"/>
                <w:szCs w:val="21"/>
                <w:lang w:eastAsia="zh-CN"/>
              </w:rPr>
              <w:t>降幅</w:t>
            </w:r>
          </w:p>
        </w:tc>
        <w:tc>
          <w:tcPr>
            <w:tcW w:w="1075"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rPr>
              <w:t>平均停电</w:t>
            </w:r>
            <w:r>
              <w:rPr>
                <w:rFonts w:hint="eastAsia" w:ascii="宋体" w:hAnsi="宋体" w:cs="宋体"/>
                <w:color w:val="auto"/>
                <w:kern w:val="0"/>
                <w:sz w:val="21"/>
                <w:szCs w:val="21"/>
                <w:lang w:val="en-US" w:eastAsia="zh-CN"/>
              </w:rPr>
              <w:t>频率</w:t>
            </w:r>
          </w:p>
        </w:tc>
        <w:tc>
          <w:tcPr>
            <w:tcW w:w="972"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eastAsia="zh-CN"/>
              </w:rPr>
              <w:t>降幅</w:t>
            </w:r>
          </w:p>
        </w:tc>
        <w:tc>
          <w:tcPr>
            <w:tcW w:w="1063"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w:t>
            </w:r>
            <w:r>
              <w:rPr>
                <w:rFonts w:hint="eastAsia" w:ascii="宋体" w:hAnsi="宋体" w:cs="宋体"/>
                <w:color w:val="auto"/>
                <w:kern w:val="0"/>
                <w:sz w:val="21"/>
                <w:szCs w:val="21"/>
              </w:rPr>
              <w:t>停电持续时间</w:t>
            </w:r>
          </w:p>
        </w:tc>
        <w:tc>
          <w:tcPr>
            <w:tcW w:w="1056" w:type="dxa"/>
            <w:vAlign w:val="center"/>
          </w:tcPr>
          <w:p>
            <w:pPr>
              <w:widowControl/>
              <w:jc w:val="center"/>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c>
          <w:tcPr>
            <w:tcW w:w="1088"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平均停电用户数</w:t>
            </w:r>
          </w:p>
        </w:tc>
        <w:tc>
          <w:tcPr>
            <w:tcW w:w="1056" w:type="dxa"/>
            <w:vAlign w:val="center"/>
          </w:tcPr>
          <w:p>
            <w:pPr>
              <w:widowControl/>
              <w:jc w:val="center"/>
              <w:rPr>
                <w:rFonts w:hint="eastAsia"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同比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0.63</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0.0797</w:t>
            </w:r>
          </w:p>
        </w:tc>
        <w:tc>
          <w:tcPr>
            <w:tcW w:w="972" w:type="dxa"/>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0"/>
                <w:szCs w:val="20"/>
                <w:u w:val="none"/>
                <w:lang w:val="en-US" w:eastAsia="zh-CN" w:bidi="ar"/>
              </w:rPr>
              <w:t>70.14%</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2.03</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-0.16</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38.04</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0.23</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-27.77%</w:t>
            </w:r>
          </w:p>
        </w:tc>
        <w:tc>
          <w:tcPr>
            <w:tcW w:w="1075"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0.0055</w:t>
            </w:r>
          </w:p>
        </w:tc>
        <w:tc>
          <w:tcPr>
            <w:tcW w:w="972" w:type="dxa"/>
            <w:vAlign w:val="center"/>
          </w:tcPr>
          <w:p>
            <w:pPr>
              <w:keepNext w:val="0"/>
              <w:keepLines w:val="0"/>
              <w:widowControl/>
              <w:suppressLineNumbers w:val="0"/>
              <w:jc w:val="center"/>
              <w:textAlignment w:val="bottom"/>
              <w:rPr>
                <w:rFonts w:hint="default" w:ascii="宋体" w:hAnsi="宋体" w:eastAsia="宋体" w:cs="宋体"/>
                <w:i w:val="0"/>
                <w:color w:val="000000"/>
                <w:kern w:val="2"/>
                <w:sz w:val="21"/>
                <w:szCs w:val="21"/>
                <w:u w:val="none"/>
                <w:lang w:val="en-US" w:eastAsia="zh-CN" w:bidi="ar-SA"/>
              </w:rPr>
            </w:pPr>
            <w:r>
              <w:rPr>
                <w:rFonts w:hint="eastAsia" w:ascii="宋体" w:hAnsi="宋体" w:cs="宋体"/>
                <w:i w:val="0"/>
                <w:color w:val="000000"/>
                <w:kern w:val="0"/>
                <w:sz w:val="20"/>
                <w:szCs w:val="20"/>
                <w:u w:val="none"/>
                <w:lang w:val="en-US" w:eastAsia="zh-CN" w:bidi="ar"/>
              </w:rPr>
              <w:t>92.66%</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2.21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-0.87</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16.42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0.28</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50%</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0.0344</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87.44%</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2.41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0.22</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24.53</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包头供电公司昆区供电分公司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0.51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-155%</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0.0792</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55.50%</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2.41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0.71</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23.82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包头供电公司白云供电分公司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0.58</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75%</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0.1763</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79.20%</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1.62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-0.8</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43.57</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包头供电公司石拐供电分公司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0.57</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10.93%</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100%</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2.31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-2.42</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22.00</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包头供电公司高新供电分公司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0.35</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23.91%</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0.0268</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89.77%</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1.71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-0.82</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16.81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包头供电公司新都市区供电分公司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0.41</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-156.25%</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0.0906</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49.10%</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2.50</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1.61</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37.20</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包头供电公司九原供电分公司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0.92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-12.19%</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0.047</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84.06%</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1.78</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-0.76</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40.79</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包头供电公司土右供电分公司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1.52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-198.03%</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0.2352</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16%</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2.49</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0.44</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50.33</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包头供电公司固阳供电分公司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0.14</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58.82%</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0.0256</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89.63%</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1.59</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0.01</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39.00</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-51.44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10"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包头供电公司达茂供电分公司</w:t>
            </w:r>
          </w:p>
        </w:tc>
        <w:tc>
          <w:tcPr>
            <w:tcW w:w="1000"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0.72</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41.46%</w:t>
            </w:r>
          </w:p>
        </w:tc>
        <w:tc>
          <w:tcPr>
            <w:tcW w:w="1075" w:type="dxa"/>
            <w:vAlign w:val="center"/>
          </w:tcPr>
          <w:p>
            <w:pPr>
              <w:keepNext w:val="0"/>
              <w:keepLines w:val="0"/>
              <w:widowControl/>
              <w:suppressLineNumbers w:val="0"/>
              <w:jc w:val="center"/>
              <w:textAlignment w:val="center"/>
              <w:rPr>
                <w:rFonts w:hint="eastAsia" w:ascii="宋体" w:hAnsi="宋体" w:cs="宋体"/>
                <w:kern w:val="0"/>
                <w:sz w:val="21"/>
                <w:szCs w:val="21"/>
              </w:rPr>
            </w:pPr>
            <w:r>
              <w:rPr>
                <w:rFonts w:hint="eastAsia" w:ascii="宋体" w:hAnsi="宋体" w:eastAsia="宋体" w:cs="宋体"/>
                <w:i w:val="0"/>
                <w:iCs w:val="0"/>
                <w:color w:val="000000"/>
                <w:kern w:val="0"/>
                <w:sz w:val="21"/>
                <w:szCs w:val="21"/>
                <w:u w:val="none"/>
                <w:lang w:val="en-US" w:eastAsia="zh-CN" w:bidi="ar"/>
              </w:rPr>
              <w:t>0.1296</w:t>
            </w:r>
          </w:p>
        </w:tc>
        <w:tc>
          <w:tcPr>
            <w:tcW w:w="972"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63.69%</w:t>
            </w:r>
          </w:p>
        </w:tc>
        <w:tc>
          <w:tcPr>
            <w:tcW w:w="1063"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1.60</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-0.03</w:t>
            </w:r>
          </w:p>
        </w:tc>
        <w:tc>
          <w:tcPr>
            <w:tcW w:w="1088" w:type="dxa"/>
            <w:vAlign w:val="center"/>
          </w:tcPr>
          <w:p>
            <w:pPr>
              <w:keepNext w:val="0"/>
              <w:keepLines w:val="0"/>
              <w:widowControl/>
              <w:suppressLineNumbers w:val="0"/>
              <w:jc w:val="center"/>
              <w:textAlignment w:val="bottom"/>
              <w:rPr>
                <w:rFonts w:hint="eastAsia" w:ascii="宋体" w:hAnsi="宋体" w:cs="宋体"/>
                <w:kern w:val="0"/>
                <w:sz w:val="21"/>
                <w:szCs w:val="21"/>
              </w:rPr>
            </w:pPr>
            <w:r>
              <w:rPr>
                <w:rFonts w:hint="eastAsia" w:ascii="宋体" w:hAnsi="宋体" w:eastAsia="宋体" w:cs="宋体"/>
                <w:i w:val="0"/>
                <w:color w:val="000000"/>
                <w:kern w:val="0"/>
                <w:sz w:val="20"/>
                <w:szCs w:val="20"/>
                <w:u w:val="none"/>
                <w:lang w:val="en-US" w:eastAsia="zh-CN" w:bidi="ar"/>
              </w:rPr>
              <w:t>59.47</w:t>
            </w:r>
          </w:p>
        </w:tc>
        <w:tc>
          <w:tcPr>
            <w:tcW w:w="1056" w:type="dxa"/>
            <w:vAlign w:val="center"/>
          </w:tcPr>
          <w:p>
            <w:pPr>
              <w:keepNext w:val="0"/>
              <w:keepLines w:val="0"/>
              <w:widowControl/>
              <w:suppressLineNumbers w:val="0"/>
              <w:jc w:val="center"/>
              <w:textAlignment w:val="bottom"/>
              <w:rPr>
                <w:rFonts w:hint="default" w:ascii="宋体" w:hAnsi="宋体" w:cs="宋体"/>
                <w:kern w:val="0"/>
                <w:sz w:val="21"/>
                <w:szCs w:val="21"/>
                <w:lang w:val="en-US"/>
              </w:rPr>
            </w:pPr>
            <w:r>
              <w:rPr>
                <w:rFonts w:hint="eastAsia" w:ascii="宋体" w:hAnsi="宋体" w:cs="宋体"/>
                <w:i w:val="0"/>
                <w:color w:val="000000"/>
                <w:kern w:val="0"/>
                <w:sz w:val="20"/>
                <w:szCs w:val="20"/>
                <w:u w:val="none"/>
                <w:lang w:val="en-US" w:eastAsia="zh-CN" w:bidi="ar"/>
              </w:rPr>
              <w:t>-16.28</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Chars="200"/>
        <w:textAlignment w:val="auto"/>
        <w:rPr>
          <w:rFonts w:hint="eastAsia" w:ascii="宋体" w:hAnsi="宋体" w:cs="宋体"/>
          <w:color w:val="auto"/>
          <w:sz w:val="24"/>
          <w:szCs w:val="24"/>
          <w:highlight w:val="none"/>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60"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1" w:name="_Toc11574"/>
      <w:r>
        <w:rPr>
          <w:rFonts w:hint="eastAsia" w:ascii="Times New Roman" w:hAnsi="Times New Roman" w:eastAsia="宋体" w:cs="Times New Roman"/>
          <w:b w:val="0"/>
          <w:bCs w:val="0"/>
          <w:color w:val="auto"/>
          <w:kern w:val="2"/>
          <w:sz w:val="24"/>
          <w:szCs w:val="24"/>
          <w:highlight w:val="none"/>
          <w:lang w:val="en-US" w:eastAsia="zh-CN" w:bidi="ar-SA"/>
        </w:rPr>
        <w:t>故障停电复电时间分布分析</w:t>
      </w:r>
      <w:bookmarkEnd w:id="21"/>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rPr>
        <w:t>表</w:t>
      </w:r>
      <w:r>
        <w:rPr>
          <w:rFonts w:hint="eastAsia" w:ascii="黑体" w:hAnsi="黑体" w:eastAsia="黑体" w:cs="Arial"/>
          <w:color w:val="auto"/>
          <w:sz w:val="24"/>
          <w:szCs w:val="24"/>
          <w:highlight w:val="none"/>
          <w:lang w:val="en-US" w:eastAsia="zh-CN"/>
        </w:rPr>
        <w:t xml:space="preserve">10  </w:t>
      </w:r>
      <w:r>
        <w:rPr>
          <w:rFonts w:hint="eastAsia" w:ascii="黑体" w:hAnsi="黑体" w:eastAsia="黑体" w:cs="Arial"/>
          <w:color w:val="auto"/>
          <w:sz w:val="24"/>
          <w:szCs w:val="24"/>
          <w:highlight w:val="none"/>
        </w:rPr>
        <w:t>故障停电复电时间</w:t>
      </w:r>
      <w:r>
        <w:rPr>
          <w:rFonts w:hint="eastAsia" w:ascii="黑体" w:hAnsi="黑体" w:eastAsia="黑体" w:cs="Arial"/>
          <w:color w:val="auto"/>
          <w:sz w:val="24"/>
          <w:szCs w:val="24"/>
          <w:highlight w:val="none"/>
          <w:lang w:val="en-US" w:eastAsia="zh-CN"/>
        </w:rPr>
        <w:t>分布情况</w:t>
      </w:r>
    </w:p>
    <w:p>
      <w:pPr>
        <w:widowControl/>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p>
    <w:tbl>
      <w:tblPr>
        <w:tblStyle w:val="28"/>
        <w:tblW w:w="92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9"/>
        <w:gridCol w:w="2944"/>
        <w:gridCol w:w="29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停电时间/小时</w:t>
            </w:r>
          </w:p>
        </w:tc>
        <w:tc>
          <w:tcPr>
            <w:tcW w:w="2944"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次数/次</w:t>
            </w:r>
          </w:p>
        </w:tc>
        <w:tc>
          <w:tcPr>
            <w:tcW w:w="2941"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占总次数比例/%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x≤1</w:t>
            </w:r>
          </w:p>
        </w:tc>
        <w:tc>
          <w:tcPr>
            <w:tcW w:w="2944" w:type="dxa"/>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79</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36.23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1&lt;x≤2</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cs="宋体"/>
                <w:i w:val="0"/>
                <w:iCs w:val="0"/>
                <w:color w:val="000000"/>
                <w:kern w:val="0"/>
                <w:sz w:val="21"/>
                <w:szCs w:val="21"/>
                <w:u w:val="none"/>
                <w:lang w:val="en-US" w:eastAsia="zh-CN" w:bidi="ar"/>
              </w:rPr>
              <w:t>64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29.35</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2&lt;x≤3</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cs="宋体"/>
                <w:i w:val="0"/>
                <w:iCs w:val="0"/>
                <w:color w:val="000000"/>
                <w:kern w:val="0"/>
                <w:sz w:val="21"/>
                <w:szCs w:val="21"/>
                <w:u w:val="none"/>
                <w:lang w:val="en-US" w:eastAsia="zh-CN" w:bidi="ar"/>
              </w:rPr>
              <w:t>32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14.67</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3&lt;x≤4</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cs="宋体"/>
                <w:i w:val="0"/>
                <w:iCs w:val="0"/>
                <w:color w:val="000000"/>
                <w:kern w:val="0"/>
                <w:sz w:val="21"/>
                <w:szCs w:val="21"/>
                <w:u w:val="none"/>
                <w:lang w:val="en-US" w:eastAsia="zh-CN" w:bidi="ar"/>
              </w:rPr>
              <w:t>17</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7.79</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4&lt;x≤5</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cs="宋体"/>
                <w:i w:val="0"/>
                <w:iCs w:val="0"/>
                <w:color w:val="000000"/>
                <w:kern w:val="0"/>
                <w:sz w:val="21"/>
                <w:szCs w:val="21"/>
                <w:u w:val="none"/>
                <w:lang w:val="en-US" w:eastAsia="zh-CN" w:bidi="ar"/>
              </w:rPr>
              <w:t>12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5.50</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5&lt;x≤6</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1.83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6&lt;x≤7</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3</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1.37</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7&lt;x≤8</w:t>
            </w:r>
          </w:p>
        </w:tc>
        <w:tc>
          <w:tcPr>
            <w:tcW w:w="2944" w:type="dxa"/>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2</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91</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8&lt;x≤9</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9&lt;x</w:t>
            </w:r>
          </w:p>
        </w:tc>
        <w:tc>
          <w:tcPr>
            <w:tcW w:w="2944"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4</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cs="宋体"/>
                <w:i w:val="0"/>
                <w:iCs w:val="0"/>
                <w:color w:val="000000"/>
                <w:kern w:val="0"/>
                <w:sz w:val="21"/>
                <w:szCs w:val="21"/>
                <w:u w:val="none"/>
                <w:lang w:val="en-US" w:eastAsia="zh-CN" w:bidi="ar"/>
              </w:rPr>
              <w:t>1.83</w:t>
            </w:r>
            <w:r>
              <w:rPr>
                <w:rFonts w:hint="eastAsia" w:ascii="宋体" w:hAnsi="宋体" w:eastAsia="宋体" w:cs="宋体"/>
                <w:i w:val="0"/>
                <w:iCs w:val="0"/>
                <w:color w:val="000000"/>
                <w:kern w:val="0"/>
                <w:sz w:val="21"/>
                <w:szCs w:val="21"/>
                <w:u w:val="none"/>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399" w:type="dxa"/>
            <w:vAlign w:val="center"/>
          </w:tcPr>
          <w:p>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合计</w:t>
            </w:r>
          </w:p>
        </w:tc>
        <w:tc>
          <w:tcPr>
            <w:tcW w:w="2944" w:type="dxa"/>
            <w:vAlign w:val="center"/>
          </w:tcPr>
          <w:p>
            <w:pPr>
              <w:keepNext w:val="0"/>
              <w:keepLines w:val="0"/>
              <w:widowControl/>
              <w:suppressLineNumbers w:val="0"/>
              <w:jc w:val="center"/>
              <w:textAlignment w:val="center"/>
              <w:rPr>
                <w:rFonts w:hint="default" w:ascii="宋体" w:hAnsi="宋体" w:cs="宋体"/>
                <w:kern w:val="0"/>
                <w:sz w:val="21"/>
                <w:szCs w:val="21"/>
                <w:highlight w:val="none"/>
                <w:lang w:val="en-US"/>
              </w:rPr>
            </w:pPr>
            <w:r>
              <w:rPr>
                <w:rFonts w:hint="eastAsia" w:ascii="宋体" w:hAnsi="宋体" w:cs="宋体"/>
                <w:i w:val="0"/>
                <w:iCs w:val="0"/>
                <w:color w:val="000000"/>
                <w:kern w:val="0"/>
                <w:sz w:val="21"/>
                <w:szCs w:val="21"/>
                <w:u w:val="none"/>
                <w:lang w:val="en-US" w:eastAsia="zh-CN" w:bidi="ar"/>
              </w:rPr>
              <w:t>218</w:t>
            </w:r>
          </w:p>
        </w:tc>
        <w:tc>
          <w:tcPr>
            <w:tcW w:w="2941" w:type="dxa"/>
            <w:vAlign w:val="center"/>
          </w:tcPr>
          <w:p>
            <w:pPr>
              <w:keepNext w:val="0"/>
              <w:keepLines w:val="0"/>
              <w:widowControl/>
              <w:suppressLineNumbers w:val="0"/>
              <w:jc w:val="center"/>
              <w:textAlignment w:val="center"/>
              <w:rPr>
                <w:rFonts w:ascii="宋体" w:hAnsi="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100.00%</w:t>
            </w:r>
          </w:p>
        </w:tc>
      </w:tr>
    </w:tbl>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b w:val="0"/>
          <w:bCs w:val="0"/>
          <w:color w:val="auto"/>
          <w:sz w:val="24"/>
          <w:szCs w:val="24"/>
          <w:highlight w:val="none"/>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2" w:name="_Toc27244"/>
      <w:r>
        <w:rPr>
          <w:rFonts w:hint="eastAsia" w:ascii="Times New Roman" w:hAnsi="Times New Roman" w:eastAsia="宋体" w:cs="Times New Roman"/>
          <w:b w:val="0"/>
          <w:bCs w:val="0"/>
          <w:color w:val="auto"/>
          <w:kern w:val="2"/>
          <w:sz w:val="24"/>
          <w:szCs w:val="24"/>
          <w:highlight w:val="none"/>
          <w:lang w:val="en-US" w:eastAsia="zh-CN" w:bidi="ar-SA"/>
        </w:rPr>
        <w:t>故障重复停电分析</w:t>
      </w:r>
      <w:bookmarkEnd w:id="22"/>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 xml:space="preserve">表11  </w:t>
      </w:r>
      <w:r>
        <w:rPr>
          <w:rFonts w:hint="eastAsia" w:ascii="黑体" w:hAnsi="黑体" w:eastAsia="黑体" w:cs="Arial"/>
          <w:color w:val="auto"/>
          <w:sz w:val="24"/>
          <w:szCs w:val="24"/>
          <w:highlight w:val="none"/>
        </w:rPr>
        <w:t>故障重复停电</w:t>
      </w:r>
      <w:r>
        <w:rPr>
          <w:rFonts w:hint="eastAsia" w:ascii="黑体" w:hAnsi="黑体" w:eastAsia="黑体" w:cs="Arial"/>
          <w:color w:val="auto"/>
          <w:sz w:val="24"/>
          <w:szCs w:val="24"/>
          <w:highlight w:val="none"/>
          <w:lang w:val="en-US" w:eastAsia="zh-CN"/>
        </w:rPr>
        <w:t>情况</w:t>
      </w:r>
    </w:p>
    <w:p>
      <w:pPr>
        <w:pStyle w:val="12"/>
        <w:jc w:val="right"/>
        <w:rPr>
          <w:rFonts w:hint="eastAsia"/>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i w:val="0"/>
          <w:color w:val="000000"/>
          <w:kern w:val="0"/>
          <w:sz w:val="20"/>
          <w:szCs w:val="20"/>
          <w:u w:val="none"/>
          <w:lang w:val="en-US" w:eastAsia="zh-CN" w:bidi="ar"/>
        </w:rPr>
        <w:t>户、</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9281" w:type="dxa"/>
        <w:tblInd w:w="0" w:type="dxa"/>
        <w:tblLayout w:type="fixed"/>
        <w:tblCellMar>
          <w:top w:w="0" w:type="dxa"/>
          <w:left w:w="108" w:type="dxa"/>
          <w:bottom w:w="0" w:type="dxa"/>
          <w:right w:w="108" w:type="dxa"/>
        </w:tblCellMar>
      </w:tblPr>
      <w:tblGrid>
        <w:gridCol w:w="1798"/>
        <w:gridCol w:w="1477"/>
        <w:gridCol w:w="1016"/>
        <w:gridCol w:w="1772"/>
        <w:gridCol w:w="862"/>
        <w:gridCol w:w="1107"/>
        <w:gridCol w:w="1249"/>
      </w:tblGrid>
      <w:tr>
        <w:tblPrEx>
          <w:tblCellMar>
            <w:top w:w="0" w:type="dxa"/>
            <w:left w:w="108" w:type="dxa"/>
            <w:bottom w:w="0" w:type="dxa"/>
            <w:right w:w="108" w:type="dxa"/>
          </w:tblCellMar>
        </w:tblPrEx>
        <w:trPr>
          <w:trHeight w:val="397" w:hRule="atLeast"/>
        </w:trPr>
        <w:tc>
          <w:tcPr>
            <w:tcW w:w="1798" w:type="dxa"/>
            <w:tcBorders>
              <w:top w:val="single" w:color="000000" w:sz="4" w:space="0"/>
              <w:left w:val="single" w:color="000000" w:sz="4" w:space="0"/>
              <w:bottom w:val="single" w:color="auto" w:sz="4" w:space="0"/>
              <w:right w:val="single" w:color="000000" w:sz="4" w:space="0"/>
            </w:tcBorders>
            <w:shd w:val="clear" w:color="000000" w:fill="auto"/>
            <w:vAlign w:val="center"/>
          </w:tcPr>
          <w:p>
            <w:pPr>
              <w:widowControl/>
              <w:jc w:val="center"/>
              <w:rPr>
                <w:rFonts w:ascii="宋体" w:hAnsi="宋体" w:cs="宋体"/>
                <w:kern w:val="0"/>
                <w:highlight w:val="none"/>
              </w:rPr>
            </w:pPr>
            <w:r>
              <w:rPr>
                <w:rFonts w:hint="eastAsia" w:ascii="宋体" w:hAnsi="宋体" w:cs="宋体"/>
                <w:kern w:val="0"/>
                <w:highlight w:val="none"/>
              </w:rPr>
              <w:t>单位名称</w:t>
            </w:r>
          </w:p>
        </w:tc>
        <w:tc>
          <w:tcPr>
            <w:tcW w:w="1477"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重停用户数</w:t>
            </w:r>
          </w:p>
        </w:tc>
        <w:tc>
          <w:tcPr>
            <w:tcW w:w="1016"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77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今年重停时户数</w:t>
            </w:r>
          </w:p>
        </w:tc>
        <w:tc>
          <w:tcPr>
            <w:tcW w:w="862"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同比</w:t>
            </w:r>
          </w:p>
        </w:tc>
        <w:tc>
          <w:tcPr>
            <w:tcW w:w="1107"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最多次数</w:t>
            </w:r>
          </w:p>
        </w:tc>
        <w:tc>
          <w:tcPr>
            <w:tcW w:w="1249" w:type="dxa"/>
            <w:tcBorders>
              <w:top w:val="single" w:color="000000" w:sz="4" w:space="0"/>
              <w:left w:val="nil"/>
              <w:bottom w:val="single" w:color="auto" w:sz="4" w:space="0"/>
              <w:right w:val="single" w:color="000000" w:sz="4" w:space="0"/>
            </w:tcBorders>
            <w:shd w:val="clear" w:color="000000" w:fill="auto"/>
            <w:vAlign w:val="center"/>
          </w:tcPr>
          <w:p>
            <w:pPr>
              <w:pageBreakBefore w:val="0"/>
              <w:widowControl/>
              <w:kinsoku/>
              <w:wordWrap/>
              <w:overflowPunct/>
              <w:topLinePunct w:val="0"/>
              <w:bidi w:val="0"/>
              <w:adjustRightInd w:val="0"/>
              <w:snapToGrid w:val="0"/>
              <w:spacing w:line="240" w:lineRule="auto"/>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停电时间</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1448</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5.2938%</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6828.78</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3031.294</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6</w:t>
            </w:r>
          </w:p>
        </w:tc>
        <w:tc>
          <w:tcPr>
            <w:tcW w:w="1249"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hint="default" w:ascii="宋体" w:hAnsi="宋体" w:eastAsia="宋体" w:cs="宋体"/>
                <w:kern w:val="0"/>
                <w:sz w:val="21"/>
                <w:szCs w:val="21"/>
                <w:highlight w:val="yellow"/>
                <w:lang w:val="en-US" w:eastAsia="zh-CN" w:bidi="ar-SA"/>
              </w:rPr>
            </w:pPr>
            <w:r>
              <w:rPr>
                <w:rFonts w:hint="eastAsia" w:ascii="宋体" w:hAnsi="宋体" w:cs="宋体"/>
                <w:i w:val="0"/>
                <w:iCs w:val="0"/>
                <w:color w:val="000000"/>
                <w:kern w:val="0"/>
                <w:sz w:val="21"/>
                <w:szCs w:val="21"/>
                <w:highlight w:val="none"/>
                <w:u w:val="none"/>
                <w:lang w:val="en-US" w:eastAsia="zh-CN" w:bidi="ar"/>
              </w:rPr>
              <w:t>0.249</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包头供电公司东河供电分公司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15</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0.6364%</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73.95</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-187.57</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249"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0.031</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shd w:val="clear" w:color="000000" w:fill="auto"/>
            <w:vAlign w:val="top"/>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包头供电公司青山供电分公司</w:t>
            </w:r>
          </w:p>
        </w:tc>
        <w:tc>
          <w:tcPr>
            <w:tcW w:w="147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52</w:t>
            </w:r>
          </w:p>
        </w:tc>
        <w:tc>
          <w:tcPr>
            <w:tcW w:w="1016"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1.941%</w:t>
            </w:r>
          </w:p>
        </w:tc>
        <w:tc>
          <w:tcPr>
            <w:tcW w:w="177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192.5</w:t>
            </w:r>
          </w:p>
        </w:tc>
        <w:tc>
          <w:tcPr>
            <w:tcW w:w="862"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hint="default" w:ascii="宋体" w:hAnsi="宋体" w:eastAsia="宋体" w:cs="宋体"/>
                <w:kern w:val="0"/>
                <w:sz w:val="21"/>
                <w:szCs w:val="21"/>
                <w:highlight w:val="none"/>
                <w:lang w:val="en-US" w:eastAsia="zh-CN" w:bidi="ar-SA"/>
              </w:rPr>
            </w:pPr>
            <w:r>
              <w:rPr>
                <w:rFonts w:hint="eastAsia" w:ascii="宋体" w:hAnsi="宋体" w:cs="宋体"/>
                <w:i w:val="0"/>
                <w:iCs w:val="0"/>
                <w:color w:val="000000"/>
                <w:kern w:val="0"/>
                <w:sz w:val="21"/>
                <w:szCs w:val="21"/>
                <w:u w:val="none"/>
                <w:lang w:val="en-US" w:eastAsia="zh-CN" w:bidi="ar"/>
              </w:rPr>
              <w:t>-322.071</w:t>
            </w:r>
          </w:p>
        </w:tc>
        <w:tc>
          <w:tcPr>
            <w:tcW w:w="1107" w:type="dxa"/>
            <w:tcBorders>
              <w:top w:val="single" w:color="auto" w:sz="4" w:space="0"/>
              <w:left w:val="single" w:color="auto" w:sz="4"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bottom"/>
              <w:rPr>
                <w:rFonts w:ascii="宋体" w:hAnsi="宋体" w:eastAsia="宋体" w:cs="宋体"/>
                <w:kern w:val="0"/>
                <w:sz w:val="21"/>
                <w:szCs w:val="21"/>
                <w:highlight w:val="none"/>
                <w:lang w:val="en-US" w:eastAsia="zh-CN" w:bidi="ar-SA"/>
              </w:rPr>
            </w:pPr>
            <w:r>
              <w:rPr>
                <w:rFonts w:hint="eastAsia" w:ascii="宋体" w:hAnsi="宋体" w:eastAsia="宋体" w:cs="宋体"/>
                <w:i w:val="0"/>
                <w:color w:val="000000"/>
                <w:kern w:val="0"/>
                <w:sz w:val="20"/>
                <w:szCs w:val="20"/>
                <w:u w:val="none"/>
                <w:lang w:val="en-US" w:eastAsia="zh-CN" w:bidi="ar"/>
              </w:rPr>
              <w:t>2</w:t>
            </w:r>
          </w:p>
        </w:tc>
        <w:tc>
          <w:tcPr>
            <w:tcW w:w="1249" w:type="dxa"/>
            <w:tcBorders>
              <w:top w:val="single" w:color="auto" w:sz="4" w:space="0"/>
              <w:left w:val="single" w:color="auto" w:sz="4" w:space="0"/>
              <w:bottom w:val="single" w:color="auto" w:sz="4" w:space="0"/>
              <w:right w:val="single" w:color="auto" w:sz="4" w:space="0"/>
            </w:tcBorders>
            <w:shd w:val="clear" w:color="000000" w:fill="auto"/>
            <w:vAlign w:val="center"/>
          </w:tcPr>
          <w:p>
            <w:pPr>
              <w:jc w:val="center"/>
              <w:rPr>
                <w:rFonts w:hint="default" w:ascii="宋体" w:hAnsi="宋体" w:eastAsia="宋体" w:cs="宋体"/>
                <w:kern w:val="0"/>
                <w:sz w:val="21"/>
                <w:szCs w:val="21"/>
                <w:highlight w:val="none"/>
                <w:lang w:val="en-US" w:eastAsia="zh-CN" w:bidi="ar-SA"/>
              </w:rPr>
            </w:pPr>
            <w:r>
              <w:rPr>
                <w:rFonts w:hint="eastAsia" w:ascii="宋体" w:hAnsi="宋体" w:cs="宋体"/>
                <w:kern w:val="0"/>
                <w:sz w:val="21"/>
                <w:szCs w:val="21"/>
                <w:highlight w:val="none"/>
                <w:lang w:val="en-US" w:eastAsia="zh-CN" w:bidi="ar-SA"/>
              </w:rPr>
              <w:t>0.071</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包头供电公司昆区供电分公司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67</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2.609%</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208.467</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181.107</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0.081</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包头供电公司白云供电分公司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83</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17.364%</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171.83</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-581.543</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0.359</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包头供电公司石拐供电分公司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0.0</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-171.708</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包头供电公司高新供电分公司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15</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0.9219%</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48.05</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-50.92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0.029</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包头供电公司新都市区供电分公司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0.0%</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0.0</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-27.72</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0</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包头供电公司九原供电分公司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279</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6.2138%</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1077.24</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501.453</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3</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0.239</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包头供电公司土右供电分公司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396</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11.8741%</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2522.953</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1640.806</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4</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0.756</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包头供电公司固阳供电分公司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43</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1.2233%</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208.98</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127.56</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0.059</w:t>
            </w:r>
          </w:p>
        </w:tc>
      </w:tr>
      <w:tr>
        <w:tblPrEx>
          <w:tblCellMar>
            <w:top w:w="0" w:type="dxa"/>
            <w:left w:w="108" w:type="dxa"/>
            <w:bottom w:w="0" w:type="dxa"/>
            <w:right w:w="108" w:type="dxa"/>
          </w:tblCellMar>
        </w:tblPrEx>
        <w:trPr>
          <w:trHeight w:val="397" w:hRule="atLeast"/>
        </w:trPr>
        <w:tc>
          <w:tcPr>
            <w:tcW w:w="1798"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olor w:val="auto"/>
                <w:kern w:val="0"/>
                <w:sz w:val="21"/>
                <w:szCs w:val="21"/>
                <w:u w:val="none"/>
                <w:lang w:val="en-US" w:eastAsia="zh-CN" w:bidi="ar"/>
              </w:rPr>
              <w:t>包头供电公司达茂供电分公司</w:t>
            </w:r>
          </w:p>
        </w:tc>
        <w:tc>
          <w:tcPr>
            <w:tcW w:w="14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498</w:t>
            </w:r>
          </w:p>
        </w:tc>
        <w:tc>
          <w:tcPr>
            <w:tcW w:w="10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11.5976%</w:t>
            </w:r>
          </w:p>
        </w:tc>
        <w:tc>
          <w:tcPr>
            <w:tcW w:w="17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2324.81</w:t>
            </w:r>
          </w:p>
        </w:tc>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hint="default" w:ascii="宋体" w:hAnsi="宋体" w:eastAsia="宋体" w:cs="宋体"/>
                <w:color w:val="auto"/>
                <w:kern w:val="0"/>
                <w:sz w:val="21"/>
                <w:szCs w:val="21"/>
                <w:highlight w:val="none"/>
                <w:lang w:val="en-US" w:eastAsia="zh-CN" w:bidi="ar-SA"/>
              </w:rPr>
            </w:pPr>
            <w:r>
              <w:rPr>
                <w:rFonts w:hint="eastAsia" w:ascii="宋体" w:hAnsi="宋体" w:cs="宋体"/>
                <w:i w:val="0"/>
                <w:iCs w:val="0"/>
                <w:color w:val="auto"/>
                <w:kern w:val="0"/>
                <w:sz w:val="21"/>
                <w:szCs w:val="21"/>
                <w:u w:val="none"/>
                <w:lang w:val="en-US" w:eastAsia="zh-CN" w:bidi="ar"/>
              </w:rPr>
              <w:t>1921.9</w:t>
            </w:r>
          </w:p>
        </w:tc>
        <w:tc>
          <w:tcPr>
            <w:tcW w:w="11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bottom"/>
              <w:rPr>
                <w:rFonts w:ascii="宋体" w:hAnsi="宋体" w:eastAsia="宋体" w:cs="宋体"/>
                <w:color w:val="auto"/>
                <w:kern w:val="0"/>
                <w:sz w:val="21"/>
                <w:szCs w:val="21"/>
                <w:highlight w:val="none"/>
                <w:lang w:val="en-US" w:eastAsia="zh-CN" w:bidi="ar-SA"/>
              </w:rPr>
            </w:pPr>
            <w:r>
              <w:rPr>
                <w:rFonts w:hint="eastAsia" w:ascii="宋体" w:hAnsi="宋体" w:eastAsia="宋体" w:cs="宋体"/>
                <w:i w:val="0"/>
                <w:color w:val="auto"/>
                <w:kern w:val="0"/>
                <w:sz w:val="20"/>
                <w:szCs w:val="20"/>
                <w:u w:val="none"/>
                <w:lang w:val="en-US" w:eastAsia="zh-CN" w:bidi="ar"/>
              </w:rPr>
              <w:t>6</w:t>
            </w:r>
          </w:p>
        </w:tc>
        <w:tc>
          <w:tcPr>
            <w:tcW w:w="1249"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0.542</w:t>
            </w:r>
          </w:p>
        </w:tc>
      </w:tr>
    </w:tbl>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textAlignment w:val="auto"/>
        <w:rPr>
          <w:rFonts w:hint="default" w:ascii="宋体" w:hAnsi="宋体" w:eastAsia="宋体" w:cs="Arial"/>
          <w:color w:val="auto"/>
          <w:sz w:val="24"/>
          <w:szCs w:val="24"/>
          <w:lang w:val="en-US" w:eastAsia="zh-CN"/>
        </w:rPr>
      </w:pPr>
    </w:p>
    <w:p>
      <w:pPr>
        <w:pStyle w:val="5"/>
        <w:keepNext/>
        <w:keepLines/>
        <w:pageBreakBefore w:val="0"/>
        <w:widowControl w:val="0"/>
        <w:numPr>
          <w:ilvl w:val="2"/>
          <w:numId w:val="4"/>
        </w:numPr>
        <w:kinsoku/>
        <w:wordWrap/>
        <w:overflowPunct/>
        <w:topLinePunct w:val="0"/>
        <w:autoSpaceDE/>
        <w:autoSpaceDN/>
        <w:bidi w:val="0"/>
        <w:adjustRightInd w:val="0"/>
        <w:snapToGrid w:val="0"/>
        <w:spacing w:before="0" w:after="0" w:line="312" w:lineRule="auto"/>
        <w:ind w:left="0" w:leftChars="0" w:firstLine="0" w:firstLineChars="0"/>
        <w:jc w:val="both"/>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 xml:space="preserve"> </w:t>
      </w:r>
      <w:bookmarkStart w:id="23" w:name="_Toc24056"/>
      <w:r>
        <w:rPr>
          <w:rFonts w:hint="eastAsia" w:ascii="Times New Roman" w:hAnsi="Times New Roman" w:eastAsia="宋体" w:cs="Times New Roman"/>
          <w:b w:val="0"/>
          <w:bCs w:val="0"/>
          <w:color w:val="auto"/>
          <w:kern w:val="2"/>
          <w:sz w:val="24"/>
          <w:szCs w:val="24"/>
          <w:highlight w:val="none"/>
          <w:lang w:val="en-US" w:eastAsia="zh-CN" w:bidi="ar-SA"/>
        </w:rPr>
        <w:t>故障停电原因分类分析</w:t>
      </w:r>
      <w:bookmarkEnd w:id="23"/>
    </w:p>
    <w:bookmarkEnd w:id="15"/>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表12  故障停电责任原因情况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w:t>
      </w:r>
      <w:r>
        <w:rPr>
          <w:rFonts w:hint="eastAsia" w:ascii="宋体" w:hAnsi="宋体" w:cs="宋体"/>
          <w:i w:val="0"/>
          <w:color w:val="000000"/>
          <w:kern w:val="0"/>
          <w:sz w:val="20"/>
          <w:szCs w:val="20"/>
          <w:u w:val="none"/>
          <w:lang w:val="en-US" w:eastAsia="zh-CN" w:bidi="ar"/>
        </w:rPr>
        <w:t>、</w:t>
      </w:r>
      <w:r>
        <w:rPr>
          <w:rFonts w:hint="eastAsia" w:ascii="宋体" w:hAnsi="宋体" w:cs="宋体"/>
          <w:color w:val="auto"/>
          <w:kern w:val="0"/>
          <w:lang w:val="en-US" w:eastAsia="zh-CN"/>
        </w:rPr>
        <w:t>次/户、h/次、户/次</w:t>
      </w:r>
    </w:p>
    <w:tbl>
      <w:tblPr>
        <w:tblStyle w:val="28"/>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1179"/>
        <w:gridCol w:w="2231"/>
        <w:gridCol w:w="1142"/>
        <w:gridCol w:w="1142"/>
        <w:gridCol w:w="1142"/>
        <w:gridCol w:w="1146"/>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644" w:hRule="atLeast"/>
          <w:tblHeader/>
          <w:jc w:val="center"/>
        </w:trPr>
        <w:tc>
          <w:tcPr>
            <w:tcW w:w="1179"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rPr>
              <w:t>责任原因</w:t>
            </w:r>
            <w:r>
              <w:rPr>
                <w:rFonts w:hint="eastAsia" w:ascii="宋体" w:hAnsi="宋体" w:eastAsia="宋体" w:cs="宋体"/>
                <w:color w:val="auto"/>
                <w:kern w:val="0"/>
                <w:sz w:val="21"/>
                <w:szCs w:val="21"/>
                <w:highlight w:val="none"/>
                <w:lang w:val="en-US" w:eastAsia="zh-CN"/>
              </w:rPr>
              <w:t>码</w:t>
            </w:r>
          </w:p>
        </w:tc>
        <w:tc>
          <w:tcPr>
            <w:tcW w:w="2231" w:type="dxa"/>
            <w:vAlign w:val="center"/>
          </w:tcPr>
          <w:p>
            <w:pPr>
              <w:pageBreakBefore w:val="0"/>
              <w:widowControl/>
              <w:kinsoku/>
              <w:wordWrap/>
              <w:overflowPunct/>
              <w:topLinePunct w:val="0"/>
              <w:bidi w:val="0"/>
              <w:adjustRightInd w:val="0"/>
              <w:snapToGrid w:val="0"/>
              <w:spacing w:line="24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责任原因</w:t>
            </w:r>
          </w:p>
        </w:tc>
        <w:tc>
          <w:tcPr>
            <w:tcW w:w="1142" w:type="dxa"/>
            <w:vAlign w:val="center"/>
          </w:tcPr>
          <w:p>
            <w:pPr>
              <w:widowControl/>
              <w:jc w:val="center"/>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lang w:val="en-US" w:eastAsia="zh-CN"/>
              </w:rPr>
              <w:t>停电次数</w:t>
            </w:r>
          </w:p>
        </w:tc>
        <w:tc>
          <w:tcPr>
            <w:tcW w:w="1142"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平均停电时间</w:t>
            </w:r>
          </w:p>
        </w:tc>
        <w:tc>
          <w:tcPr>
            <w:tcW w:w="1142" w:type="dxa"/>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占故障停电比例</w:t>
            </w:r>
          </w:p>
        </w:tc>
        <w:tc>
          <w:tcPr>
            <w:tcW w:w="1146"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停电时间同比</w:t>
            </w:r>
          </w:p>
        </w:tc>
        <w:tc>
          <w:tcPr>
            <w:tcW w:w="1146"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降幅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10kV配电网设施故障</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198</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5552</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cs="宋体"/>
                <w:i w:val="0"/>
                <w:iCs w:val="0"/>
                <w:color w:val="000000"/>
                <w:kern w:val="0"/>
                <w:sz w:val="21"/>
                <w:szCs w:val="21"/>
                <w:u w:val="none"/>
                <w:lang w:val="en-US" w:eastAsia="zh-CN" w:bidi="ar"/>
              </w:rPr>
              <w:t>90.82</w:t>
            </w:r>
            <w:r>
              <w:rPr>
                <w:rFonts w:hint="eastAsia" w:ascii="宋体" w:hAnsi="宋体" w:eastAsia="宋体" w:cs="宋体"/>
                <w:i w:val="0"/>
                <w:iCs w:val="0"/>
                <w:color w:val="000000"/>
                <w:kern w:val="0"/>
                <w:sz w:val="21"/>
                <w:szCs w:val="21"/>
                <w:u w:val="none"/>
                <w:lang w:val="en-US" w:eastAsia="zh-CN" w:bidi="ar"/>
              </w:rPr>
              <w:t>%</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0.1431</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5111</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设计施工</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4</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w:t>
            </w:r>
            <w:r>
              <w:rPr>
                <w:rFonts w:hint="eastAsia" w:ascii="宋体" w:hAnsi="宋体" w:cs="宋体"/>
                <w:i w:val="0"/>
                <w:iCs w:val="0"/>
                <w:color w:val="000000"/>
                <w:kern w:val="0"/>
                <w:sz w:val="21"/>
                <w:szCs w:val="21"/>
                <w:u w:val="none"/>
                <w:lang w:val="en-US" w:eastAsia="zh-CN" w:bidi="ar"/>
              </w:rPr>
              <w:t>210</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83</w:t>
            </w:r>
            <w:r>
              <w:rPr>
                <w:rFonts w:hint="eastAsia" w:ascii="宋体" w:hAnsi="宋体" w:eastAsia="宋体" w:cs="宋体"/>
                <w:i w:val="0"/>
                <w:iCs w:val="0"/>
                <w:color w:val="000000"/>
                <w:kern w:val="0"/>
                <w:sz w:val="21"/>
                <w:szCs w:val="21"/>
                <w:u w:val="none"/>
                <w:lang w:val="en-US" w:eastAsia="zh-CN" w:bidi="ar"/>
              </w:rPr>
              <w:t>%</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w:t>
            </w:r>
            <w:r>
              <w:rPr>
                <w:rFonts w:hint="eastAsia" w:ascii="宋体" w:hAnsi="宋体" w:cs="宋体"/>
                <w:i w:val="0"/>
                <w:iCs w:val="0"/>
                <w:color w:val="000000"/>
                <w:kern w:val="0"/>
                <w:sz w:val="21"/>
                <w:szCs w:val="21"/>
                <w:u w:val="none"/>
                <w:lang w:val="en-US" w:eastAsia="zh-CN" w:bidi="ar"/>
              </w:rPr>
              <w:t>005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82"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5112</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设备原因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54</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0.0</w:t>
            </w:r>
            <w:r>
              <w:rPr>
                <w:rFonts w:hint="eastAsia" w:ascii="宋体" w:hAnsi="宋体" w:cs="宋体"/>
                <w:i w:val="0"/>
                <w:iCs w:val="0"/>
                <w:color w:val="000000"/>
                <w:kern w:val="0"/>
                <w:sz w:val="21"/>
                <w:szCs w:val="21"/>
                <w:u w:val="none"/>
                <w:lang w:val="en-US" w:eastAsia="zh-CN" w:bidi="ar"/>
              </w:rPr>
              <w:t>931</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CN" w:bidi="ar"/>
              </w:rPr>
              <w:t>4.77</w:t>
            </w:r>
            <w:r>
              <w:rPr>
                <w:rFonts w:hint="eastAsia" w:ascii="宋体" w:hAnsi="宋体" w:eastAsia="宋体" w:cs="宋体"/>
                <w:i w:val="0"/>
                <w:iCs w:val="0"/>
                <w:color w:val="000000"/>
                <w:kern w:val="0"/>
                <w:sz w:val="21"/>
                <w:szCs w:val="21"/>
                <w:u w:val="none"/>
                <w:lang w:val="en-US" w:eastAsia="zh-CN" w:bidi="ar"/>
              </w:rPr>
              <w:t>%</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-0.0033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5113</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运行维护</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cs="宋体"/>
                <w:i w:val="0"/>
                <w:iCs w:val="0"/>
                <w:color w:val="000000"/>
                <w:kern w:val="0"/>
                <w:sz w:val="21"/>
                <w:szCs w:val="21"/>
                <w:u w:val="none"/>
                <w:lang w:val="en-US" w:eastAsia="zh-CN" w:bidi="ar"/>
              </w:rPr>
              <w:t>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.0043</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45</w:t>
            </w:r>
            <w:r>
              <w:rPr>
                <w:rFonts w:hint="eastAsia" w:ascii="宋体" w:hAnsi="宋体" w:eastAsia="宋体" w:cs="宋体"/>
                <w:i w:val="0"/>
                <w:iCs w:val="0"/>
                <w:color w:val="000000"/>
                <w:kern w:val="0"/>
                <w:sz w:val="21"/>
                <w:szCs w:val="21"/>
                <w:u w:val="none"/>
                <w:lang w:val="en-US" w:eastAsia="zh-CN" w:bidi="ar"/>
              </w:rPr>
              <w:t>%</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-0.0066</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71"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5114</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外力因素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66</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2151</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cs="宋体"/>
                <w:i w:val="0"/>
                <w:iCs w:val="0"/>
                <w:color w:val="000000"/>
                <w:kern w:val="0"/>
                <w:sz w:val="21"/>
                <w:szCs w:val="21"/>
                <w:u w:val="none"/>
                <w:lang w:val="en-US" w:eastAsia="zh-CN" w:bidi="ar"/>
              </w:rPr>
              <w:t>30.27</w:t>
            </w:r>
            <w:r>
              <w:rPr>
                <w:rFonts w:hint="eastAsia" w:ascii="宋体" w:hAnsi="宋体" w:eastAsia="宋体" w:cs="宋体"/>
                <w:i w:val="0"/>
                <w:iCs w:val="0"/>
                <w:color w:val="000000"/>
                <w:kern w:val="0"/>
                <w:sz w:val="21"/>
                <w:szCs w:val="21"/>
                <w:u w:val="none"/>
                <w:lang w:val="en-US" w:eastAsia="zh-CN" w:bidi="ar"/>
              </w:rPr>
              <w:t>%</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0313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5115</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自然因素</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21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0.0946</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9.63%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0.0779</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-466.46%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5116</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用户影响</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52</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0.1271</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23.85%</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0.0433</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512</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10kV及以上输变电设施故障</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cs="宋体"/>
                <w:i w:val="0"/>
                <w:iCs w:val="0"/>
                <w:color w:val="000000"/>
                <w:kern w:val="0"/>
                <w:sz w:val="21"/>
                <w:szCs w:val="21"/>
                <w:u w:val="none"/>
                <w:lang w:val="en-US" w:eastAsia="zh-CN" w:bidi="ar"/>
              </w:rPr>
              <w:t>5</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0.0712</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2.29%</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-0.1447</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513</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低压设施故障</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15</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0.0002</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6.88%</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514</w:t>
            </w:r>
          </w:p>
        </w:tc>
        <w:tc>
          <w:tcPr>
            <w:tcW w:w="2231" w:type="dxa"/>
            <w:vAlign w:val="center"/>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发电设施故障</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0</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c>
          <w:tcPr>
            <w:tcW w:w="1146" w:type="dxa"/>
            <w:vAlign w:val="center"/>
          </w:tcPr>
          <w:p>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trHeight w:val="469" w:hRule="atLeast"/>
          <w:jc w:val="center"/>
        </w:trPr>
        <w:tc>
          <w:tcPr>
            <w:tcW w:w="1179"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51</w:t>
            </w:r>
          </w:p>
        </w:tc>
        <w:tc>
          <w:tcPr>
            <w:tcW w:w="2231" w:type="dxa"/>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故障合计</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cs="宋体"/>
                <w:i w:val="0"/>
                <w:iCs w:val="0"/>
                <w:color w:val="000000"/>
                <w:kern w:val="0"/>
                <w:sz w:val="21"/>
                <w:szCs w:val="21"/>
                <w:u w:val="none"/>
                <w:lang w:val="en-US" w:eastAsia="zh-CN" w:bidi="ar"/>
              </w:rPr>
              <w:t>218</w:t>
            </w:r>
          </w:p>
        </w:tc>
        <w:tc>
          <w:tcPr>
            <w:tcW w:w="1142"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rPr>
            </w:pPr>
            <w:r>
              <w:rPr>
                <w:rFonts w:hint="eastAsia" w:ascii="宋体" w:hAnsi="宋体" w:eastAsia="宋体" w:cs="宋体"/>
                <w:i w:val="0"/>
                <w:iCs w:val="0"/>
                <w:color w:val="000000"/>
                <w:kern w:val="0"/>
                <w:sz w:val="21"/>
                <w:szCs w:val="21"/>
                <w:u w:val="none"/>
                <w:lang w:val="en-US" w:eastAsia="zh-CN" w:bidi="ar"/>
              </w:rPr>
              <w:t>0.</w:t>
            </w:r>
            <w:r>
              <w:rPr>
                <w:rFonts w:hint="eastAsia" w:ascii="宋体" w:hAnsi="宋体" w:cs="宋体"/>
                <w:i w:val="0"/>
                <w:iCs w:val="0"/>
                <w:color w:val="000000"/>
                <w:kern w:val="0"/>
                <w:sz w:val="21"/>
                <w:szCs w:val="21"/>
                <w:u w:val="none"/>
                <w:lang w:val="en-US" w:eastAsia="zh-CN" w:bidi="ar"/>
              </w:rPr>
              <w:t>6266</w:t>
            </w:r>
          </w:p>
        </w:tc>
        <w:tc>
          <w:tcPr>
            <w:tcW w:w="1142" w:type="dxa"/>
            <w:vAlign w:val="center"/>
          </w:tcPr>
          <w:p>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1"/>
                <w:szCs w:val="21"/>
                <w:u w:val="none"/>
                <w:lang w:val="en-US" w:eastAsia="zh-CN" w:bidi="ar"/>
              </w:rPr>
              <w:t>100.00%</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-0.0016</w:t>
            </w:r>
          </w:p>
        </w:tc>
        <w:tc>
          <w:tcPr>
            <w:tcW w:w="1146" w:type="dxa"/>
            <w:vAlign w:val="center"/>
          </w:tcPr>
          <w:p>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0.25%</w:t>
            </w:r>
          </w:p>
        </w:tc>
      </w:tr>
    </w:tbl>
    <w:p>
      <w:pPr>
        <w:rPr>
          <w:rFonts w:hint="eastAsia"/>
          <w:highlight w:val="none"/>
        </w:rPr>
      </w:pPr>
      <w:bookmarkStart w:id="24" w:name="_Toc503299641"/>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default" w:ascii="宋体" w:hAnsi="宋体" w:eastAsia="宋体" w:cs="Times New Roman"/>
          <w:b/>
          <w:bCs/>
          <w:sz w:val="28"/>
          <w:szCs w:val="28"/>
          <w:highlight w:val="none"/>
          <w:lang w:val="en-US" w:eastAsia="zh-CN" w:bidi="ar-SA"/>
        </w:rPr>
      </w:pPr>
      <w:r>
        <w:rPr>
          <w:rFonts w:hint="eastAsia" w:ascii="宋体" w:hAnsi="宋体" w:eastAsia="宋体" w:cs="Times New Roman"/>
          <w:b/>
          <w:bCs/>
          <w:sz w:val="28"/>
          <w:szCs w:val="28"/>
          <w:highlight w:val="none"/>
          <w:lang w:val="en-US" w:eastAsia="zh-CN" w:bidi="ar-SA"/>
        </w:rPr>
        <w:t xml:space="preserve"> </w:t>
      </w:r>
      <w:bookmarkStart w:id="25" w:name="_Toc6778"/>
      <w:bookmarkStart w:id="26" w:name="_Toc18774"/>
      <w:r>
        <w:rPr>
          <w:rFonts w:hint="eastAsia" w:ascii="宋体" w:hAnsi="宋体" w:eastAsia="宋体" w:cs="Times New Roman"/>
          <w:b/>
          <w:bCs/>
          <w:sz w:val="28"/>
          <w:szCs w:val="28"/>
          <w:highlight w:val="none"/>
          <w:lang w:val="en-US" w:eastAsia="zh-CN" w:bidi="ar-SA"/>
        </w:rPr>
        <w:t>不停电作业分析</w:t>
      </w:r>
      <w:bookmarkEnd w:id="25"/>
      <w:bookmarkEnd w:id="26"/>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outlineLvl w:val="9"/>
        <w:rPr>
          <w:rFonts w:hint="eastAsia" w:ascii="黑体" w:hAnsi="黑体" w:eastAsia="黑体" w:cs="Arial"/>
          <w:color w:val="auto"/>
          <w:sz w:val="24"/>
          <w:szCs w:val="24"/>
          <w:highlight w:val="none"/>
          <w:lang w:val="en-US" w:eastAsia="zh-CN"/>
        </w:rPr>
      </w:pPr>
      <w:r>
        <w:rPr>
          <w:rFonts w:hint="eastAsia" w:ascii="黑体" w:hAnsi="黑体" w:eastAsia="黑体" w:cs="Arial"/>
          <w:color w:val="auto"/>
          <w:sz w:val="24"/>
          <w:szCs w:val="24"/>
          <w:highlight w:val="none"/>
          <w:lang w:val="en-US" w:eastAsia="zh-CN"/>
        </w:rPr>
        <w:t>表13  不停电作业开展情况</w:t>
      </w:r>
    </w:p>
    <w:p>
      <w:pPr>
        <w:widowControl/>
        <w:jc w:val="right"/>
        <w:rPr>
          <w:rFonts w:hint="default"/>
          <w:lang w:val="en-US" w:eastAsia="zh-CN"/>
        </w:rPr>
      </w:pPr>
      <w:r>
        <w:rPr>
          <w:rFonts w:hint="eastAsia" w:ascii="宋体" w:hAnsi="宋体" w:eastAsia="宋体" w:cs="宋体"/>
          <w:i w:val="0"/>
          <w:color w:val="000000"/>
          <w:kern w:val="0"/>
          <w:sz w:val="20"/>
          <w:szCs w:val="20"/>
          <w:u w:val="none"/>
          <w:lang w:val="en-US" w:eastAsia="zh-CN" w:bidi="ar"/>
        </w:rPr>
        <w:t>单位：</w:t>
      </w:r>
      <w:r>
        <w:rPr>
          <w:rFonts w:hint="eastAsia" w:ascii="宋体" w:hAnsi="宋体" w:cs="宋体"/>
          <w:color w:val="auto"/>
          <w:kern w:val="0"/>
          <w:lang w:val="en-US" w:eastAsia="zh-CN"/>
        </w:rPr>
        <w:t>次、</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h</w:t>
      </w:r>
      <w:r>
        <w:rPr>
          <w:rFonts w:hint="eastAsia" w:ascii="宋体" w:hAnsi="宋体" w:cs="宋体"/>
          <w:i w:val="0"/>
          <w:color w:val="000000"/>
          <w:kern w:val="0"/>
          <w:sz w:val="20"/>
          <w:szCs w:val="20"/>
          <w:u w:val="none"/>
          <w:lang w:val="en-US" w:eastAsia="zh-CN" w:bidi="ar"/>
        </w:rPr>
        <w:t>/</w:t>
      </w:r>
      <w:r>
        <w:rPr>
          <w:rFonts w:hint="eastAsia" w:ascii="宋体" w:hAnsi="宋体" w:cs="宋体"/>
          <w:i w:val="0"/>
          <w:color w:val="auto"/>
          <w:kern w:val="2"/>
          <w:sz w:val="20"/>
          <w:szCs w:val="20"/>
          <w:u w:val="none"/>
          <w:lang w:val="en-US" w:eastAsia="zh-CN" w:bidi="ar-SA"/>
        </w:rPr>
        <w:t>户</w:t>
      </w:r>
    </w:p>
    <w:tbl>
      <w:tblPr>
        <w:tblStyle w:val="28"/>
        <w:tblW w:w="9281" w:type="dxa"/>
        <w:tblInd w:w="0" w:type="dxa"/>
        <w:tblLayout w:type="fixed"/>
        <w:tblCellMar>
          <w:top w:w="0" w:type="dxa"/>
          <w:left w:w="108" w:type="dxa"/>
          <w:bottom w:w="0" w:type="dxa"/>
          <w:right w:w="108" w:type="dxa"/>
        </w:tblCellMar>
      </w:tblPr>
      <w:tblGrid>
        <w:gridCol w:w="1400"/>
        <w:gridCol w:w="1575"/>
        <w:gridCol w:w="1575"/>
        <w:gridCol w:w="1428"/>
        <w:gridCol w:w="2210"/>
        <w:gridCol w:w="1093"/>
      </w:tblGrid>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特殊事件</w:t>
            </w:r>
          </w:p>
          <w:p>
            <w:pPr>
              <w:keepNext w:val="0"/>
              <w:keepLines w:val="0"/>
              <w:widowControl/>
              <w:suppressLineNumbers w:val="0"/>
              <w:jc w:val="center"/>
              <w:textAlignment w:val="center"/>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名称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作业次数</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作业时户数</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highlight w:val="none"/>
                <w:u w:val="none"/>
                <w:lang w:val="en-US" w:eastAsia="zh-CN" w:bidi="ar"/>
              </w:rPr>
              <w:t>减少的平均停电时间</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同比</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带电作业</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519</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-694</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14032.92</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0.5132</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-2.3773</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临时供电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19</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-71</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0"/>
                <w:sz w:val="21"/>
                <w:szCs w:val="21"/>
                <w:u w:val="none"/>
                <w:lang w:val="en-US" w:eastAsia="zh-CN" w:bidi="ar"/>
              </w:rPr>
              <w:t>5128.02</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0.1875</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-3.5643</w:t>
            </w:r>
          </w:p>
        </w:tc>
      </w:tr>
      <w:tr>
        <w:tblPrEx>
          <w:tblCellMar>
            <w:top w:w="0" w:type="dxa"/>
            <w:left w:w="108" w:type="dxa"/>
            <w:bottom w:w="0" w:type="dxa"/>
            <w:right w:w="108" w:type="dxa"/>
          </w:tblCellMar>
        </w:tblPrEx>
        <w:trPr>
          <w:trHeight w:val="397" w:hRule="atLeast"/>
        </w:trPr>
        <w:tc>
          <w:tcPr>
            <w:tcW w:w="140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highlight w:val="none"/>
                <w:u w:val="none"/>
                <w:lang w:val="en-US" w:eastAsia="zh-CN" w:bidi="ar-SA"/>
              </w:rPr>
            </w:pPr>
            <w:r>
              <w:rPr>
                <w:rFonts w:hint="eastAsia" w:ascii="宋体" w:hAnsi="宋体" w:eastAsia="宋体" w:cs="宋体"/>
                <w:i w:val="0"/>
                <w:color w:val="000000"/>
                <w:kern w:val="0"/>
                <w:sz w:val="21"/>
                <w:szCs w:val="21"/>
                <w:u w:val="none"/>
                <w:lang w:val="en-US" w:eastAsia="zh-CN" w:bidi="ar"/>
              </w:rPr>
              <w:t>不停电倒电</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cs="宋体"/>
                <w:i w:val="0"/>
                <w:color w:val="000000"/>
                <w:kern w:val="0"/>
                <w:sz w:val="21"/>
                <w:szCs w:val="21"/>
                <w:u w:val="none"/>
                <w:lang w:val="en-US" w:eastAsia="zh-CN" w:bidi="ar"/>
              </w:rPr>
              <w:t>10</w:t>
            </w:r>
          </w:p>
        </w:tc>
        <w:tc>
          <w:tcPr>
            <w:tcW w:w="1575"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eastAsia"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1</w:t>
            </w:r>
          </w:p>
        </w:tc>
        <w:tc>
          <w:tcPr>
            <w:tcW w:w="1428"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cs="宋体"/>
                <w:kern w:val="0"/>
                <w:sz w:val="21"/>
                <w:szCs w:val="21"/>
                <w:highlight w:val="none"/>
                <w:lang w:val="en-US"/>
              </w:rPr>
            </w:pPr>
            <w:r>
              <w:rPr>
                <w:rFonts w:hint="eastAsia" w:ascii="宋体" w:hAnsi="宋体" w:cs="宋体"/>
                <w:i w:val="0"/>
                <w:color w:val="000000"/>
                <w:kern w:val="0"/>
                <w:sz w:val="21"/>
                <w:szCs w:val="21"/>
                <w:u w:val="none"/>
                <w:lang w:val="en-US" w:eastAsia="zh-CN" w:bidi="ar"/>
              </w:rPr>
              <w:t>57127.85</w:t>
            </w:r>
          </w:p>
        </w:tc>
        <w:tc>
          <w:tcPr>
            <w:tcW w:w="2210" w:type="dxa"/>
            <w:tcBorders>
              <w:top w:val="single" w:color="auto" w:sz="2" w:space="0"/>
              <w:left w:val="single" w:color="auto" w:sz="2" w:space="0"/>
              <w:bottom w:val="single" w:color="auto" w:sz="2" w:space="0"/>
              <w:right w:val="single" w:color="auto" w:sz="2" w:space="0"/>
            </w:tcBorders>
            <w:shd w:val="clear" w:color="000000" w:fill="auto"/>
            <w:vAlign w:val="bottom"/>
          </w:tcPr>
          <w:p>
            <w:pPr>
              <w:keepNext w:val="0"/>
              <w:keepLines w:val="0"/>
              <w:widowControl/>
              <w:suppressLineNumbers w:val="0"/>
              <w:jc w:val="center"/>
              <w:textAlignment w:val="bottom"/>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2.089</w:t>
            </w:r>
          </w:p>
        </w:tc>
        <w:tc>
          <w:tcPr>
            <w:tcW w:w="1093" w:type="dxa"/>
            <w:tcBorders>
              <w:top w:val="single" w:color="auto" w:sz="2" w:space="0"/>
              <w:left w:val="single" w:color="auto" w:sz="2" w:space="0"/>
              <w:bottom w:val="single" w:color="auto" w:sz="2" w:space="0"/>
              <w:right w:val="single" w:color="auto" w:sz="2" w:space="0"/>
            </w:tcBorders>
            <w:shd w:val="clear" w:color="000000" w:fill="auto"/>
            <w:vAlign w:val="center"/>
          </w:tcPr>
          <w:p>
            <w:pPr>
              <w:keepNext w:val="0"/>
              <w:keepLines w:val="0"/>
              <w:widowControl/>
              <w:suppressLineNumbers w:val="0"/>
              <w:jc w:val="center"/>
              <w:textAlignment w:val="center"/>
              <w:rPr>
                <w:rFonts w:hint="default" w:ascii="宋体" w:hAnsi="宋体" w:eastAsia="宋体" w:cs="宋体"/>
                <w:i w:val="0"/>
                <w:color w:val="000000"/>
                <w:kern w:val="2"/>
                <w:sz w:val="21"/>
                <w:szCs w:val="21"/>
                <w:highlight w:val="none"/>
                <w:u w:val="none"/>
                <w:lang w:val="en-US" w:eastAsia="zh-CN" w:bidi="ar-SA"/>
              </w:rPr>
            </w:pPr>
            <w:r>
              <w:rPr>
                <w:rFonts w:hint="eastAsia" w:ascii="宋体" w:hAnsi="宋体" w:cs="宋体"/>
                <w:i w:val="0"/>
                <w:color w:val="000000"/>
                <w:kern w:val="2"/>
                <w:sz w:val="21"/>
                <w:szCs w:val="21"/>
                <w:highlight w:val="none"/>
                <w:u w:val="none"/>
                <w:lang w:val="en-US" w:eastAsia="zh-CN" w:bidi="ar-SA"/>
              </w:rPr>
              <w:t>-1.3723</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firstLine="420" w:firstLineChars="200"/>
        <w:textAlignment w:val="auto"/>
        <w:rPr>
          <w:rFonts w:hint="eastAsia" w:ascii="宋体" w:hAnsi="宋体" w:cs="宋体"/>
          <w:i w:val="0"/>
          <w:color w:val="000000"/>
          <w:kern w:val="0"/>
          <w:sz w:val="21"/>
          <w:szCs w:val="21"/>
          <w:highlight w:val="none"/>
          <w:u w:val="none"/>
          <w:lang w:val="en-US" w:eastAsia="zh-CN" w:bidi="ar"/>
        </w:rPr>
      </w:pPr>
      <w:r>
        <w:rPr>
          <w:rFonts w:hint="eastAsia" w:ascii="宋体" w:hAnsi="宋体" w:cs="Arial"/>
          <w:color w:val="000000"/>
          <w:sz w:val="21"/>
          <w:szCs w:val="21"/>
          <w:highlight w:val="none"/>
          <w:lang w:val="en-US" w:eastAsia="zh-CN"/>
        </w:rPr>
        <w:t>备注：</w:t>
      </w:r>
      <w:r>
        <w:rPr>
          <w:rFonts w:hint="eastAsia" w:ascii="宋体" w:hAnsi="宋体" w:eastAsia="宋体" w:cs="宋体"/>
          <w:i w:val="0"/>
          <w:color w:val="000000"/>
          <w:kern w:val="0"/>
          <w:sz w:val="21"/>
          <w:szCs w:val="21"/>
          <w:highlight w:val="none"/>
          <w:u w:val="none"/>
          <w:lang w:val="en-US" w:eastAsia="zh-CN" w:bidi="ar"/>
        </w:rPr>
        <w:t>减少的平均停电时间</w:t>
      </w:r>
      <w:r>
        <w:rPr>
          <w:rFonts w:hint="eastAsia" w:ascii="宋体" w:hAnsi="宋体" w:cs="宋体"/>
          <w:i w:val="0"/>
          <w:color w:val="000000"/>
          <w:kern w:val="0"/>
          <w:sz w:val="21"/>
          <w:szCs w:val="21"/>
          <w:highlight w:val="none"/>
          <w:u w:val="none"/>
          <w:lang w:val="en-US" w:eastAsia="zh-CN" w:bidi="ar"/>
        </w:rPr>
        <w:t>=</w:t>
      </w:r>
      <w:r>
        <w:rPr>
          <w:rFonts w:hint="eastAsia" w:ascii="宋体" w:hAnsi="宋体" w:eastAsia="宋体" w:cs="宋体"/>
          <w:i w:val="0"/>
          <w:color w:val="000000"/>
          <w:kern w:val="0"/>
          <w:sz w:val="21"/>
          <w:szCs w:val="21"/>
          <w:highlight w:val="none"/>
          <w:u w:val="none"/>
          <w:lang w:val="en-US" w:eastAsia="zh-CN" w:bidi="ar"/>
        </w:rPr>
        <w:t>作业时户数</w:t>
      </w:r>
      <w:r>
        <w:rPr>
          <w:rFonts w:hint="eastAsia" w:ascii="宋体" w:hAnsi="宋体" w:cs="宋体"/>
          <w:i w:val="0"/>
          <w:color w:val="000000"/>
          <w:kern w:val="0"/>
          <w:sz w:val="21"/>
          <w:szCs w:val="21"/>
          <w:highlight w:val="none"/>
          <w:u w:val="none"/>
          <w:lang w:val="en-US" w:eastAsia="zh-CN" w:bidi="ar"/>
        </w:rPr>
        <w:t>/等效用户数，需计算</w:t>
      </w:r>
    </w:p>
    <w:p>
      <w:pPr>
        <w:pStyle w:val="2"/>
        <w:rPr>
          <w:rFonts w:hint="default"/>
          <w:lang w:val="en-US" w:eastAsia="zh-CN"/>
        </w:rPr>
      </w:pPr>
    </w:p>
    <w:p>
      <w:pPr>
        <w:pStyle w:val="3"/>
        <w:keepNext/>
        <w:keepLines/>
        <w:pageBreakBefore w:val="0"/>
        <w:widowControl w:val="0"/>
        <w:numPr>
          <w:ilvl w:val="0"/>
          <w:numId w:val="4"/>
        </w:numPr>
        <w:kinsoku/>
        <w:wordWrap/>
        <w:overflowPunct/>
        <w:topLinePunct w:val="0"/>
        <w:autoSpaceDE/>
        <w:autoSpaceDN/>
        <w:bidi w:val="0"/>
        <w:adjustRightInd/>
        <w:snapToGrid w:val="0"/>
        <w:spacing w:before="0" w:after="0" w:line="312" w:lineRule="auto"/>
        <w:ind w:left="0" w:leftChars="0" w:firstLine="0" w:firstLineChars="0"/>
        <w:jc w:val="both"/>
        <w:textAlignment w:val="auto"/>
        <w:rPr>
          <w:rFonts w:hint="eastAsia" w:ascii="宋体" w:hAnsi="宋体" w:eastAsia="宋体" w:cs="Times New Roman"/>
          <w:b/>
          <w:bCs/>
          <w:sz w:val="28"/>
          <w:szCs w:val="28"/>
          <w:highlight w:val="none"/>
          <w:lang w:val="en-US" w:eastAsia="zh-CN" w:bidi="ar-SA"/>
        </w:rPr>
      </w:pPr>
      <w:r>
        <w:rPr>
          <w:rFonts w:hint="eastAsia" w:ascii="宋体" w:hAnsi="宋体" w:eastAsia="宋体" w:cs="Times New Roman"/>
          <w:b/>
          <w:bCs/>
          <w:sz w:val="28"/>
          <w:szCs w:val="28"/>
          <w:highlight w:val="none"/>
          <w:lang w:val="en-US" w:eastAsia="zh-CN" w:bidi="ar-SA"/>
        </w:rPr>
        <w:t xml:space="preserve"> </w:t>
      </w:r>
      <w:bookmarkStart w:id="27" w:name="_Toc5096"/>
      <w:bookmarkStart w:id="28" w:name="_Toc5494"/>
      <w:r>
        <w:rPr>
          <w:rFonts w:hint="eastAsia" w:ascii="宋体" w:hAnsi="宋体" w:eastAsia="宋体" w:cs="Times New Roman"/>
          <w:b/>
          <w:bCs/>
          <w:sz w:val="28"/>
          <w:szCs w:val="28"/>
          <w:highlight w:val="none"/>
          <w:lang w:val="en-US" w:eastAsia="zh-CN" w:bidi="ar-SA"/>
        </w:rPr>
        <w:t>结论</w:t>
      </w:r>
      <w:bookmarkEnd w:id="27"/>
      <w:bookmarkEnd w:id="28"/>
      <w:r>
        <w:rPr>
          <w:rFonts w:hint="eastAsia" w:ascii="宋体" w:hAnsi="宋体" w:cs="Times New Roman"/>
          <w:b/>
          <w:bCs/>
          <w:sz w:val="28"/>
          <w:szCs w:val="28"/>
          <w:highlight w:val="none"/>
          <w:lang w:val="en-US" w:eastAsia="zh-CN" w:bidi="ar-SA"/>
        </w:rPr>
        <w:t>及建议</w:t>
      </w:r>
    </w:p>
    <w:bookmarkEnd w:id="24"/>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420" w:firstLineChars="200"/>
        <w:jc w:val="both"/>
        <w:textAlignment w:val="auto"/>
        <w:rPr>
          <w:rStyle w:val="33"/>
          <w:rFonts w:hint="eastAsia" w:ascii="宋体" w:hAnsi="宋体" w:eastAsia="宋体" w:cs="宋体"/>
          <w:color w:val="auto"/>
          <w:sz w:val="21"/>
          <w:szCs w:val="21"/>
          <w:lang w:val="en-US" w:eastAsia="zh-CN"/>
        </w:rPr>
      </w:pPr>
      <w:r>
        <w:rPr>
          <w:rStyle w:val="33"/>
          <w:rFonts w:hint="eastAsia" w:ascii="宋体" w:hAnsi="宋体" w:eastAsia="宋体" w:cs="宋体"/>
          <w:color w:val="auto"/>
          <w:sz w:val="21"/>
          <w:szCs w:val="21"/>
          <w:lang w:val="en-US" w:eastAsia="zh-CN"/>
        </w:rPr>
        <w:t>指标完成情况及原因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cs="仿宋"/>
          <w:color w:val="auto"/>
          <w:kern w:val="0"/>
          <w:sz w:val="24"/>
          <w:szCs w:val="24"/>
          <w:highlight w:val="none"/>
          <w:lang w:eastAsia="zh-CN"/>
        </w:rPr>
      </w:pPr>
      <w:r>
        <w:rPr>
          <w:rFonts w:hint="eastAsia" w:ascii="宋体" w:hAnsi="宋体" w:cs="仿宋"/>
          <w:color w:val="auto"/>
          <w:kern w:val="0"/>
          <w:sz w:val="24"/>
          <w:szCs w:val="24"/>
          <w:highlight w:val="none"/>
          <w:lang w:val="en-US" w:eastAsia="zh-CN"/>
        </w:rPr>
        <w:t>2023年</w:t>
      </w:r>
      <w:r>
        <w:rPr>
          <w:rFonts w:hint="eastAsia" w:ascii="宋体" w:hAnsi="宋体" w:cs="仿宋"/>
          <w:color w:val="auto"/>
          <w:kern w:val="0"/>
          <w:sz w:val="24"/>
          <w:szCs w:val="24"/>
          <w:highlight w:val="none"/>
          <w:lang w:eastAsia="zh-CN"/>
        </w:rPr>
        <w:t>上半年包头</w:t>
      </w:r>
      <w:r>
        <w:rPr>
          <w:rFonts w:hint="eastAsia" w:ascii="宋体" w:hAnsi="宋体" w:cs="仿宋"/>
          <w:color w:val="auto"/>
          <w:kern w:val="0"/>
          <w:sz w:val="24"/>
          <w:szCs w:val="24"/>
          <w:highlight w:val="none"/>
          <w:lang w:val="en-US" w:eastAsia="zh-CN"/>
        </w:rPr>
        <w:t>供电</w:t>
      </w:r>
      <w:r>
        <w:rPr>
          <w:rFonts w:hint="eastAsia" w:ascii="宋体" w:hAnsi="宋体" w:cs="仿宋"/>
          <w:color w:val="auto"/>
          <w:kern w:val="0"/>
          <w:sz w:val="24"/>
          <w:szCs w:val="24"/>
          <w:highlight w:val="none"/>
          <w:lang w:eastAsia="zh-CN"/>
        </w:rPr>
        <w:t>公司全口径用户平均停电时间</w:t>
      </w:r>
      <w:r>
        <w:rPr>
          <w:rFonts w:hint="eastAsia" w:ascii="宋体" w:hAnsi="宋体" w:cs="仿宋"/>
          <w:color w:val="auto"/>
          <w:kern w:val="0"/>
          <w:sz w:val="24"/>
          <w:szCs w:val="24"/>
          <w:highlight w:val="none"/>
          <w:lang w:val="en-US" w:eastAsia="zh-CN"/>
        </w:rPr>
        <w:t>3.20h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99.9264</w:t>
      </w:r>
      <w:r>
        <w:rPr>
          <w:rFonts w:hint="eastAsia" w:ascii="宋体" w:hAnsi="宋体" w:cs="仿宋"/>
          <w:color w:val="auto"/>
          <w:kern w:val="0"/>
          <w:sz w:val="24"/>
          <w:szCs w:val="24"/>
          <w:highlight w:val="none"/>
          <w:lang w:eastAsia="zh-CN"/>
        </w:rPr>
        <w:t>%），同比增加</w:t>
      </w:r>
      <w:r>
        <w:rPr>
          <w:rFonts w:hint="eastAsia" w:ascii="宋体" w:hAnsi="宋体" w:cs="仿宋"/>
          <w:color w:val="auto"/>
          <w:kern w:val="0"/>
          <w:sz w:val="24"/>
          <w:szCs w:val="24"/>
          <w:highlight w:val="none"/>
          <w:lang w:val="en-US" w:eastAsia="zh-CN"/>
        </w:rPr>
        <w:t>0.08h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提高2.5%。其中城市</w:t>
      </w:r>
      <w:r>
        <w:rPr>
          <w:rFonts w:hint="eastAsia" w:ascii="宋体" w:hAnsi="宋体" w:cs="仿宋"/>
          <w:color w:val="auto"/>
          <w:kern w:val="0"/>
          <w:sz w:val="24"/>
          <w:szCs w:val="24"/>
          <w:highlight w:val="none"/>
          <w:lang w:eastAsia="zh-CN"/>
        </w:rPr>
        <w:t>用户平均停电时间</w:t>
      </w:r>
      <w:r>
        <w:rPr>
          <w:rFonts w:hint="eastAsia" w:ascii="宋体" w:hAnsi="宋体" w:cs="仿宋"/>
          <w:color w:val="auto"/>
          <w:kern w:val="0"/>
          <w:sz w:val="24"/>
          <w:szCs w:val="24"/>
          <w:highlight w:val="none"/>
          <w:lang w:val="en-US" w:eastAsia="zh-CN"/>
        </w:rPr>
        <w:t>0.84h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99.9808</w:t>
      </w:r>
      <w:r>
        <w:rPr>
          <w:rFonts w:hint="eastAsia" w:ascii="宋体" w:hAnsi="宋体" w:cs="仿宋"/>
          <w:color w:val="auto"/>
          <w:kern w:val="0"/>
          <w:sz w:val="24"/>
          <w:szCs w:val="24"/>
          <w:highlight w:val="none"/>
          <w:lang w:eastAsia="zh-CN"/>
        </w:rPr>
        <w:t>%），同比</w:t>
      </w:r>
      <w:r>
        <w:rPr>
          <w:rFonts w:hint="eastAsia" w:ascii="宋体" w:hAnsi="宋体" w:cs="仿宋"/>
          <w:color w:val="auto"/>
          <w:kern w:val="0"/>
          <w:sz w:val="24"/>
          <w:szCs w:val="24"/>
          <w:highlight w:val="none"/>
          <w:lang w:val="en-US" w:eastAsia="zh-CN"/>
        </w:rPr>
        <w:t>降低0.41h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降低32.80%；</w:t>
      </w:r>
      <w:r>
        <w:rPr>
          <w:rFonts w:hint="eastAsia" w:ascii="宋体" w:hAnsi="宋体" w:cs="仿宋"/>
          <w:color w:val="auto"/>
          <w:kern w:val="0"/>
          <w:sz w:val="24"/>
          <w:szCs w:val="24"/>
          <w:highlight w:val="none"/>
          <w:lang w:eastAsia="zh-CN"/>
        </w:rPr>
        <w:t>用户平均停电频率</w:t>
      </w:r>
      <w:r>
        <w:rPr>
          <w:rFonts w:hint="eastAsia" w:ascii="宋体" w:hAnsi="宋体" w:cs="仿宋"/>
          <w:color w:val="auto"/>
          <w:kern w:val="0"/>
          <w:sz w:val="24"/>
          <w:szCs w:val="24"/>
          <w:highlight w:val="none"/>
          <w:lang w:val="en-US" w:eastAsia="zh-CN"/>
        </w:rPr>
        <w:t>0.273</w:t>
      </w:r>
      <w:r>
        <w:rPr>
          <w:rFonts w:hint="eastAsia" w:ascii="宋体" w:hAnsi="宋体" w:cs="仿宋"/>
          <w:color w:val="auto"/>
          <w:kern w:val="0"/>
          <w:sz w:val="24"/>
          <w:szCs w:val="24"/>
          <w:highlight w:val="none"/>
          <w:lang w:eastAsia="zh-CN"/>
        </w:rPr>
        <w:t>次，同比减少</w:t>
      </w:r>
      <w:r>
        <w:rPr>
          <w:rFonts w:hint="eastAsia" w:ascii="宋体" w:hAnsi="宋体" w:cs="仿宋"/>
          <w:color w:val="auto"/>
          <w:kern w:val="0"/>
          <w:sz w:val="24"/>
          <w:szCs w:val="24"/>
          <w:highlight w:val="none"/>
          <w:lang w:val="en-US" w:eastAsia="zh-CN"/>
        </w:rPr>
        <w:t>0.077</w:t>
      </w:r>
      <w:r>
        <w:rPr>
          <w:rFonts w:hint="eastAsia" w:ascii="宋体" w:hAnsi="宋体" w:cs="仿宋"/>
          <w:color w:val="auto"/>
          <w:kern w:val="0"/>
          <w:sz w:val="24"/>
          <w:szCs w:val="24"/>
          <w:highlight w:val="none"/>
          <w:lang w:eastAsia="zh-CN"/>
        </w:rPr>
        <w:t>次。</w:t>
      </w:r>
      <w:r>
        <w:rPr>
          <w:rFonts w:hint="eastAsia" w:ascii="宋体" w:hAnsi="宋体" w:cs="仿宋"/>
          <w:color w:val="auto"/>
          <w:kern w:val="0"/>
          <w:sz w:val="24"/>
          <w:szCs w:val="24"/>
          <w:highlight w:val="none"/>
          <w:lang w:val="en-US" w:eastAsia="zh-CN"/>
        </w:rPr>
        <w:t>农村用户</w:t>
      </w:r>
      <w:r>
        <w:rPr>
          <w:rFonts w:hint="eastAsia" w:ascii="宋体" w:hAnsi="宋体" w:cs="仿宋"/>
          <w:color w:val="auto"/>
          <w:kern w:val="0"/>
          <w:sz w:val="24"/>
          <w:szCs w:val="24"/>
          <w:highlight w:val="none"/>
          <w:lang w:eastAsia="zh-CN"/>
        </w:rPr>
        <w:t>平均停电时间</w:t>
      </w:r>
      <w:r>
        <w:rPr>
          <w:rFonts w:hint="eastAsia" w:ascii="宋体" w:hAnsi="宋体" w:cs="仿宋"/>
          <w:color w:val="auto"/>
          <w:kern w:val="0"/>
          <w:sz w:val="24"/>
          <w:szCs w:val="24"/>
          <w:highlight w:val="none"/>
          <w:lang w:val="en-US" w:eastAsia="zh-CN"/>
        </w:rPr>
        <w:t>4.73h</w:t>
      </w:r>
      <w:r>
        <w:rPr>
          <w:rFonts w:hint="eastAsia" w:ascii="宋体" w:hAnsi="宋体" w:cs="仿宋"/>
          <w:color w:val="auto"/>
          <w:kern w:val="0"/>
          <w:sz w:val="24"/>
          <w:szCs w:val="24"/>
          <w:highlight w:val="none"/>
          <w:lang w:eastAsia="zh-CN"/>
        </w:rPr>
        <w:t>/户（供电可靠率</w:t>
      </w:r>
      <w:r>
        <w:rPr>
          <w:rFonts w:hint="eastAsia" w:ascii="宋体" w:hAnsi="宋体" w:cs="仿宋"/>
          <w:color w:val="auto"/>
          <w:kern w:val="0"/>
          <w:sz w:val="24"/>
          <w:szCs w:val="24"/>
          <w:highlight w:val="none"/>
          <w:lang w:val="en-US" w:eastAsia="zh-CN"/>
        </w:rPr>
        <w:t>99.8912</w:t>
      </w:r>
      <w:r>
        <w:rPr>
          <w:rFonts w:hint="eastAsia" w:ascii="宋体" w:hAnsi="宋体" w:cs="仿宋"/>
          <w:color w:val="auto"/>
          <w:kern w:val="0"/>
          <w:sz w:val="24"/>
          <w:szCs w:val="24"/>
          <w:highlight w:val="none"/>
          <w:lang w:eastAsia="zh-CN"/>
        </w:rPr>
        <w:t>%），同比</w:t>
      </w:r>
      <w:r>
        <w:rPr>
          <w:rFonts w:hint="eastAsia" w:ascii="宋体" w:hAnsi="宋体" w:cs="仿宋"/>
          <w:color w:val="auto"/>
          <w:kern w:val="0"/>
          <w:sz w:val="24"/>
          <w:szCs w:val="24"/>
          <w:highlight w:val="none"/>
          <w:lang w:val="en-US" w:eastAsia="zh-CN"/>
        </w:rPr>
        <w:t>降低0.31h</w:t>
      </w:r>
      <w:r>
        <w:rPr>
          <w:rFonts w:hint="eastAsia" w:ascii="宋体" w:hAnsi="宋体" w:cs="仿宋"/>
          <w:color w:val="auto"/>
          <w:kern w:val="0"/>
          <w:sz w:val="24"/>
          <w:szCs w:val="24"/>
          <w:highlight w:val="none"/>
          <w:lang w:eastAsia="zh-CN"/>
        </w:rPr>
        <w:t>/户，</w:t>
      </w:r>
      <w:r>
        <w:rPr>
          <w:rFonts w:hint="eastAsia" w:ascii="宋体" w:hAnsi="宋体" w:cs="仿宋"/>
          <w:color w:val="auto"/>
          <w:kern w:val="0"/>
          <w:sz w:val="24"/>
          <w:szCs w:val="24"/>
          <w:highlight w:val="none"/>
          <w:lang w:val="en-US" w:eastAsia="zh-CN"/>
        </w:rPr>
        <w:t>降低 6.55 %</w:t>
      </w:r>
      <w:r>
        <w:rPr>
          <w:rFonts w:hint="eastAsia" w:ascii="宋体" w:hAnsi="宋体" w:cs="仿宋"/>
          <w:color w:val="auto"/>
          <w:kern w:val="0"/>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w:t>
      </w:r>
      <w:r>
        <w:rPr>
          <w:rFonts w:hint="eastAsia" w:ascii="宋体" w:hAnsi="宋体" w:cs="宋体"/>
          <w:color w:val="auto"/>
          <w:sz w:val="21"/>
          <w:szCs w:val="21"/>
          <w:lang w:val="en-US" w:eastAsia="zh-CN"/>
        </w:rPr>
        <w:t>减少</w:t>
      </w:r>
      <w:r>
        <w:rPr>
          <w:rFonts w:hint="eastAsia" w:ascii="宋体" w:hAnsi="宋体" w:eastAsia="宋体" w:cs="宋体"/>
          <w:color w:val="auto"/>
          <w:sz w:val="21"/>
          <w:szCs w:val="21"/>
          <w:lang w:val="en-US" w:eastAsia="zh-CN"/>
        </w:rPr>
        <w:t>停电</w:t>
      </w:r>
      <w:r>
        <w:rPr>
          <w:rFonts w:hint="eastAsia" w:ascii="宋体" w:hAnsi="宋体" w:cs="宋体"/>
          <w:color w:val="auto"/>
          <w:sz w:val="21"/>
          <w:szCs w:val="21"/>
          <w:lang w:val="en-US" w:eastAsia="zh-CN"/>
        </w:rPr>
        <w:t>主要</w:t>
      </w:r>
      <w:r>
        <w:rPr>
          <w:rFonts w:hint="eastAsia" w:ascii="宋体" w:hAnsi="宋体" w:eastAsia="宋体" w:cs="宋体"/>
          <w:color w:val="auto"/>
          <w:sz w:val="21"/>
          <w:szCs w:val="21"/>
          <w:lang w:val="en-US" w:eastAsia="zh-CN"/>
        </w:rPr>
        <w:t>采取的措施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持续提升供电可靠能力。梳理配网不能联络转供线路，与计划对接，要求增加城市电源布点，优化网架结构，提高互联转供能力，降低配电线路供电半径和负载率，从根本解决可靠性瓶颈问题；严控配网检修时间，工程前期考虑临时搭接转供、带电作业方案，不断优化调整施工方案及工序，做到配网线路先联络后改造，进一步压减停电时户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大力开展不停电作业。今年加大对停电负荷转供审核，加大中低压应急发电车、移动环网柜车与带电作业的配合应用，开展“发电+带电”协同配合作业，拓展带电作业应用场景，并进行带电作业外委解决带电作业瓶颈。采取跨分公司互联，梳理有联络开关不能转带的问题51项。带电作业化率86%，同比升高6.67%。</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强化配电自动化实用化应用。6月协助公司完成制定10kV出线断路器三段保护整定原则，截止目前自愈线路已投运26条，放开103台主变低压侧时限速断保护。推进配网“三级保护”+故障自愈功能投入，通过保护级差缩小故障停电范围，通过故障自愈进行故障隔离和非故障段负荷转供，缩短故障停电范围</w:t>
      </w:r>
    </w:p>
    <w:p>
      <w:pPr>
        <w:pStyle w:val="78"/>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是强化配电线路设备运维管理，加强故障分析，严格落实人员责任性跳闸考核。通过停电配合、带电作业等手段，推进线路设备局部绝缘化、防鸟、防雷等反措问题治理，已增补270余万专项费用于治理近期频繁故障线路，逐步提升配电线路运行工况，降低线路故障停电率。</w:t>
      </w:r>
    </w:p>
    <w:p>
      <w:pPr>
        <w:pStyle w:val="78"/>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r>
        <w:rPr>
          <w:rFonts w:hint="eastAsia" w:ascii="宋体" w:hAnsi="宋体" w:eastAsia="宋体" w:cs="宋体"/>
          <w:sz w:val="21"/>
          <w:szCs w:val="21"/>
          <w:lang w:val="en-US" w:eastAsia="zh-CN"/>
        </w:rPr>
        <w:t>编制年度停电综合检修计划，通过合并停电需求，修编年度停电计划原则。合理制定固化10kV母线预试、综自改造停电等时间定额，跟踪考核月停电完成情况等管理方法，不断压减停电时长。</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12" w:lineRule="auto"/>
        <w:ind w:leftChars="200"/>
        <w:textAlignment w:val="auto"/>
        <w:rPr>
          <w:rFonts w:hint="eastAsia" w:ascii="宋体" w:hAnsi="宋体" w:eastAsia="宋体" w:cs="Arial"/>
          <w:b/>
          <w:bCs/>
          <w:color w:val="C00000"/>
          <w:sz w:val="24"/>
          <w:szCs w:val="24"/>
          <w:lang w:val="en-US" w:eastAsia="zh-CN"/>
        </w:rPr>
      </w:pPr>
      <w:bookmarkStart w:id="29" w:name="_GoBack"/>
      <w:bookmarkEnd w:id="29"/>
    </w:p>
    <w:sectPr>
      <w:headerReference r:id="rId5" w:type="default"/>
      <w:footerReference r:id="rId6" w:type="default"/>
      <w:pgSz w:w="11906" w:h="16838"/>
      <w:pgMar w:top="1814" w:right="1417" w:bottom="1559" w:left="1417" w:header="850"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2"/>
                            <w:rPr>
                              <w:rStyle w:val="31"/>
                            </w:rPr>
                          </w:pPr>
                          <w:r>
                            <w:fldChar w:fldCharType="begin"/>
                          </w:r>
                          <w:r>
                            <w:rPr>
                              <w:rStyle w:val="31"/>
                            </w:rPr>
                            <w:instrText xml:space="preserve">PAGE  </w:instrText>
                          </w:r>
                          <w:r>
                            <w:fldChar w:fldCharType="separate"/>
                          </w:r>
                          <w:r>
                            <w:rPr>
                              <w:rStyle w:val="31"/>
                            </w:rPr>
                            <w:t>22</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jZDcVOcB&#10;AADIAwAADgAAAAAAAAABACAAAAAiAQAAZHJzL2Uyb0RvYy54bWxQSwUGAAAAAAYABgBZAQAAewUA&#10;AAAA&#10;">
              <v:fill on="f" focussize="0,0"/>
              <v:stroke on="f" weight="1.25pt"/>
              <v:imagedata o:title=""/>
              <o:lock v:ext="edit" aspectratio="f"/>
              <v:textbox inset="0mm,0mm,0mm,0mm" style="mso-fit-shape-to-text:t;">
                <w:txbxContent>
                  <w:p>
                    <w:pPr>
                      <w:pStyle w:val="22"/>
                      <w:rPr>
                        <w:rStyle w:val="31"/>
                      </w:rPr>
                    </w:pPr>
                    <w:r>
                      <w:fldChar w:fldCharType="begin"/>
                    </w:r>
                    <w:r>
                      <w:rPr>
                        <w:rStyle w:val="31"/>
                      </w:rPr>
                      <w:instrText xml:space="preserve">PAGE  </w:instrText>
                    </w:r>
                    <w:r>
                      <w:fldChar w:fldCharType="separate"/>
                    </w:r>
                    <w:r>
                      <w:rPr>
                        <w:rStyle w:val="31"/>
                      </w:rP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12F56A"/>
    <w:multiLevelType w:val="singleLevel"/>
    <w:tmpl w:val="E712F56A"/>
    <w:lvl w:ilvl="0" w:tentative="0">
      <w:start w:val="1"/>
      <w:numFmt w:val="chineseCounting"/>
      <w:suff w:val="nothing"/>
      <w:lvlText w:val="%1、"/>
      <w:lvlJc w:val="left"/>
      <w:pPr>
        <w:ind w:left="-117"/>
      </w:pPr>
      <w:rPr>
        <w:rFonts w:hint="eastAsia"/>
      </w:r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33D44A12"/>
    <w:multiLevelType w:val="multilevel"/>
    <w:tmpl w:val="33D44A12"/>
    <w:lvl w:ilvl="0" w:tentative="0">
      <w:start w:val="1"/>
      <w:numFmt w:val="decimal"/>
      <w:suff w:val="space"/>
      <w:lvlText w:val="%1"/>
      <w:lvlJc w:val="left"/>
      <w:pPr>
        <w:tabs>
          <w:tab w:val="left" w:pos="0"/>
        </w:tabs>
        <w:ind w:left="425" w:hanging="425"/>
      </w:pPr>
      <w:rPr>
        <w:rFonts w:hint="default" w:ascii="宋体" w:hAnsi="宋体" w:eastAsia="宋体" w:cs="宋体"/>
        <w:b/>
        <w:sz w:val="28"/>
      </w:rPr>
    </w:lvl>
    <w:lvl w:ilvl="1" w:tentative="0">
      <w:start w:val="1"/>
      <w:numFmt w:val="decimal"/>
      <w:suff w:val="space"/>
      <w:lvlText w:val="%1.%2"/>
      <w:lvlJc w:val="left"/>
      <w:pPr>
        <w:tabs>
          <w:tab w:val="left" w:pos="0"/>
        </w:tabs>
        <w:ind w:left="567" w:hanging="567"/>
      </w:pPr>
      <w:rPr>
        <w:rFonts w:hint="default" w:ascii="宋体" w:hAnsi="宋体" w:eastAsia="宋体" w:cs="宋体"/>
        <w:b/>
        <w:sz w:val="24"/>
      </w:rPr>
    </w:lvl>
    <w:lvl w:ilvl="2" w:tentative="0">
      <w:start w:val="1"/>
      <w:numFmt w:val="decimal"/>
      <w:suff w:val="space"/>
      <w:lvlText w:val="%1.%2.%3"/>
      <w:lvlJc w:val="left"/>
      <w:pPr>
        <w:ind w:left="709" w:hanging="709"/>
      </w:pPr>
      <w:rPr>
        <w:rFonts w:hint="default" w:ascii="宋体" w:hAnsi="宋体" w:eastAsia="宋体" w:cs="宋体"/>
        <w:sz w:val="24"/>
      </w:rPr>
    </w:lvl>
    <w:lvl w:ilvl="3" w:tentative="0">
      <w:start w:val="1"/>
      <w:numFmt w:val="decimal"/>
      <w:suff w:val="space"/>
      <w:lvlText w:val="%1.%2.%3.%4"/>
      <w:lvlJc w:val="left"/>
      <w:pPr>
        <w:ind w:left="850" w:hanging="850"/>
      </w:pPr>
      <w:rPr>
        <w:rFonts w:hint="default" w:ascii="宋体" w:hAnsi="宋体" w:eastAsia="宋体" w:cs="宋体"/>
        <w:sz w:val="24"/>
      </w:rPr>
    </w:lvl>
    <w:lvl w:ilvl="4" w:tentative="0">
      <w:start w:val="1"/>
      <w:numFmt w:val="decimal"/>
      <w:lvlText w:val="%1.%2.%3.%4.%5"/>
      <w:lvlJc w:val="left"/>
      <w:pPr>
        <w:ind w:left="991" w:hanging="991"/>
      </w:pPr>
      <w:rPr>
        <w:rFonts w:hint="default" w:ascii="宋体" w:hAnsi="宋体" w:eastAsia="宋体" w:cs="宋体"/>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34EE4996"/>
    <w:multiLevelType w:val="multilevel"/>
    <w:tmpl w:val="34EE4996"/>
    <w:lvl w:ilvl="0" w:tentative="0">
      <w:start w:val="1"/>
      <w:numFmt w:val="japaneseCounting"/>
      <w:pStyle w:val="36"/>
      <w:lvlText w:val="%1、"/>
      <w:lvlJc w:val="left"/>
      <w:pPr>
        <w:ind w:left="0" w:firstLine="0"/>
      </w:pPr>
      <w:rPr>
        <w:rFonts w:hint="eastAsia"/>
        <w:b/>
      </w:rPr>
    </w:lvl>
    <w:lvl w:ilvl="1" w:tentative="0">
      <w:start w:val="1"/>
      <w:numFmt w:val="decimal"/>
      <w:pStyle w:val="35"/>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4">
    <w:nsid w:val="397C1097"/>
    <w:multiLevelType w:val="multilevel"/>
    <w:tmpl w:val="397C1097"/>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NGU3OTliYWFmYTMzNjJjMWE3MmQ2OWNkNzAzOWIifQ=="/>
  </w:docVars>
  <w:rsids>
    <w:rsidRoot w:val="00D94555"/>
    <w:rsid w:val="00002F76"/>
    <w:rsid w:val="00004E2E"/>
    <w:rsid w:val="00006744"/>
    <w:rsid w:val="00010F29"/>
    <w:rsid w:val="000200CD"/>
    <w:rsid w:val="00020AC1"/>
    <w:rsid w:val="00025C8F"/>
    <w:rsid w:val="00027DC4"/>
    <w:rsid w:val="00034331"/>
    <w:rsid w:val="00036993"/>
    <w:rsid w:val="00042B8E"/>
    <w:rsid w:val="00044EEB"/>
    <w:rsid w:val="000469FB"/>
    <w:rsid w:val="00052DFF"/>
    <w:rsid w:val="00056530"/>
    <w:rsid w:val="00056874"/>
    <w:rsid w:val="00060564"/>
    <w:rsid w:val="000663C5"/>
    <w:rsid w:val="00066A71"/>
    <w:rsid w:val="00066CE2"/>
    <w:rsid w:val="00067CEF"/>
    <w:rsid w:val="0007347B"/>
    <w:rsid w:val="00077E5E"/>
    <w:rsid w:val="000844F7"/>
    <w:rsid w:val="0008639A"/>
    <w:rsid w:val="000868BA"/>
    <w:rsid w:val="000871A9"/>
    <w:rsid w:val="000945C0"/>
    <w:rsid w:val="00094D01"/>
    <w:rsid w:val="00094D90"/>
    <w:rsid w:val="00097554"/>
    <w:rsid w:val="000A3441"/>
    <w:rsid w:val="000C577E"/>
    <w:rsid w:val="000C5954"/>
    <w:rsid w:val="000D0E2C"/>
    <w:rsid w:val="000D617E"/>
    <w:rsid w:val="000D6B11"/>
    <w:rsid w:val="000D788D"/>
    <w:rsid w:val="000E2804"/>
    <w:rsid w:val="000E5AFD"/>
    <w:rsid w:val="000E7FEA"/>
    <w:rsid w:val="000F03F7"/>
    <w:rsid w:val="000F0C6F"/>
    <w:rsid w:val="00101AD7"/>
    <w:rsid w:val="00104F6A"/>
    <w:rsid w:val="00110547"/>
    <w:rsid w:val="00112D65"/>
    <w:rsid w:val="00113A3E"/>
    <w:rsid w:val="001170BC"/>
    <w:rsid w:val="00120CD9"/>
    <w:rsid w:val="00120DBC"/>
    <w:rsid w:val="001218EF"/>
    <w:rsid w:val="0012530A"/>
    <w:rsid w:val="00131304"/>
    <w:rsid w:val="00131369"/>
    <w:rsid w:val="0013272F"/>
    <w:rsid w:val="00133233"/>
    <w:rsid w:val="0013329E"/>
    <w:rsid w:val="00137322"/>
    <w:rsid w:val="00140328"/>
    <w:rsid w:val="00140C77"/>
    <w:rsid w:val="0014142B"/>
    <w:rsid w:val="0014164D"/>
    <w:rsid w:val="00141D8B"/>
    <w:rsid w:val="001456F6"/>
    <w:rsid w:val="00150280"/>
    <w:rsid w:val="00152CAE"/>
    <w:rsid w:val="001535FC"/>
    <w:rsid w:val="00155507"/>
    <w:rsid w:val="00155893"/>
    <w:rsid w:val="0015682F"/>
    <w:rsid w:val="0016468A"/>
    <w:rsid w:val="001655C0"/>
    <w:rsid w:val="00167331"/>
    <w:rsid w:val="001716C7"/>
    <w:rsid w:val="00173EF0"/>
    <w:rsid w:val="001835CB"/>
    <w:rsid w:val="00184E2B"/>
    <w:rsid w:val="00192970"/>
    <w:rsid w:val="00194CC9"/>
    <w:rsid w:val="001966BC"/>
    <w:rsid w:val="00197D70"/>
    <w:rsid w:val="001A02A5"/>
    <w:rsid w:val="001A4278"/>
    <w:rsid w:val="001A50D2"/>
    <w:rsid w:val="001A7517"/>
    <w:rsid w:val="001B1F13"/>
    <w:rsid w:val="001C2E70"/>
    <w:rsid w:val="001C5F1C"/>
    <w:rsid w:val="001C7690"/>
    <w:rsid w:val="001D2C16"/>
    <w:rsid w:val="001D7093"/>
    <w:rsid w:val="001E3AD1"/>
    <w:rsid w:val="001E6530"/>
    <w:rsid w:val="001E7E94"/>
    <w:rsid w:val="001F4067"/>
    <w:rsid w:val="001F44F9"/>
    <w:rsid w:val="001F6C8B"/>
    <w:rsid w:val="001F71A5"/>
    <w:rsid w:val="0020253F"/>
    <w:rsid w:val="00214E5F"/>
    <w:rsid w:val="00217C63"/>
    <w:rsid w:val="00217D2F"/>
    <w:rsid w:val="002212A0"/>
    <w:rsid w:val="002214C5"/>
    <w:rsid w:val="00221DC5"/>
    <w:rsid w:val="00221EC6"/>
    <w:rsid w:val="00224958"/>
    <w:rsid w:val="00225362"/>
    <w:rsid w:val="002262F3"/>
    <w:rsid w:val="002304B4"/>
    <w:rsid w:val="00233D49"/>
    <w:rsid w:val="00237A4A"/>
    <w:rsid w:val="00241CF2"/>
    <w:rsid w:val="00243256"/>
    <w:rsid w:val="002645D6"/>
    <w:rsid w:val="00272E96"/>
    <w:rsid w:val="00273EFC"/>
    <w:rsid w:val="002750A0"/>
    <w:rsid w:val="00277B4A"/>
    <w:rsid w:val="00280BD4"/>
    <w:rsid w:val="00281259"/>
    <w:rsid w:val="00283D3A"/>
    <w:rsid w:val="00285D78"/>
    <w:rsid w:val="00286941"/>
    <w:rsid w:val="00287A93"/>
    <w:rsid w:val="00291D22"/>
    <w:rsid w:val="002922E4"/>
    <w:rsid w:val="0029350A"/>
    <w:rsid w:val="002A26D0"/>
    <w:rsid w:val="002A3A65"/>
    <w:rsid w:val="002A6575"/>
    <w:rsid w:val="002A6DEF"/>
    <w:rsid w:val="002B32CB"/>
    <w:rsid w:val="002B4A3F"/>
    <w:rsid w:val="002B7C16"/>
    <w:rsid w:val="002C17AB"/>
    <w:rsid w:val="002C6323"/>
    <w:rsid w:val="002D4171"/>
    <w:rsid w:val="002D633D"/>
    <w:rsid w:val="002D69FC"/>
    <w:rsid w:val="002D6B7C"/>
    <w:rsid w:val="002E0C81"/>
    <w:rsid w:val="002E751A"/>
    <w:rsid w:val="002F32BC"/>
    <w:rsid w:val="00302467"/>
    <w:rsid w:val="003035AC"/>
    <w:rsid w:val="00303DBD"/>
    <w:rsid w:val="0031540F"/>
    <w:rsid w:val="0031548B"/>
    <w:rsid w:val="0032155C"/>
    <w:rsid w:val="00322609"/>
    <w:rsid w:val="003240C9"/>
    <w:rsid w:val="00331C8B"/>
    <w:rsid w:val="0034020D"/>
    <w:rsid w:val="003462BC"/>
    <w:rsid w:val="003468BE"/>
    <w:rsid w:val="003506C7"/>
    <w:rsid w:val="00350749"/>
    <w:rsid w:val="0035483F"/>
    <w:rsid w:val="00354E83"/>
    <w:rsid w:val="00355177"/>
    <w:rsid w:val="00362A64"/>
    <w:rsid w:val="00364FE5"/>
    <w:rsid w:val="00384776"/>
    <w:rsid w:val="0039053A"/>
    <w:rsid w:val="003A6E9B"/>
    <w:rsid w:val="003B12F1"/>
    <w:rsid w:val="003B22BD"/>
    <w:rsid w:val="003C0368"/>
    <w:rsid w:val="003C05D3"/>
    <w:rsid w:val="003C1724"/>
    <w:rsid w:val="003C27F5"/>
    <w:rsid w:val="003D3AE4"/>
    <w:rsid w:val="003D48A4"/>
    <w:rsid w:val="003D76F0"/>
    <w:rsid w:val="003E6CEE"/>
    <w:rsid w:val="003F0B10"/>
    <w:rsid w:val="003F0CA6"/>
    <w:rsid w:val="003F5959"/>
    <w:rsid w:val="003F6E60"/>
    <w:rsid w:val="00402BF7"/>
    <w:rsid w:val="00404A53"/>
    <w:rsid w:val="00405D8C"/>
    <w:rsid w:val="0040655B"/>
    <w:rsid w:val="004249AC"/>
    <w:rsid w:val="00425243"/>
    <w:rsid w:val="00425799"/>
    <w:rsid w:val="00425BD2"/>
    <w:rsid w:val="004268A7"/>
    <w:rsid w:val="0042793C"/>
    <w:rsid w:val="004340C3"/>
    <w:rsid w:val="00436117"/>
    <w:rsid w:val="00437FEC"/>
    <w:rsid w:val="00440154"/>
    <w:rsid w:val="00441FE5"/>
    <w:rsid w:val="0044772C"/>
    <w:rsid w:val="004500D3"/>
    <w:rsid w:val="00455546"/>
    <w:rsid w:val="0046069F"/>
    <w:rsid w:val="00462B56"/>
    <w:rsid w:val="00463FB3"/>
    <w:rsid w:val="0046732E"/>
    <w:rsid w:val="004768CB"/>
    <w:rsid w:val="00480CD9"/>
    <w:rsid w:val="00481149"/>
    <w:rsid w:val="004831B3"/>
    <w:rsid w:val="00483E1E"/>
    <w:rsid w:val="00485B51"/>
    <w:rsid w:val="00486A2A"/>
    <w:rsid w:val="00491A45"/>
    <w:rsid w:val="00494784"/>
    <w:rsid w:val="004B2BBC"/>
    <w:rsid w:val="004B3B82"/>
    <w:rsid w:val="004B3EA8"/>
    <w:rsid w:val="004B44E5"/>
    <w:rsid w:val="004B45FE"/>
    <w:rsid w:val="004B4ED5"/>
    <w:rsid w:val="004B5E48"/>
    <w:rsid w:val="004C471C"/>
    <w:rsid w:val="004D20FE"/>
    <w:rsid w:val="004E057E"/>
    <w:rsid w:val="004E1D59"/>
    <w:rsid w:val="004E1E6F"/>
    <w:rsid w:val="004E51B3"/>
    <w:rsid w:val="004E51EF"/>
    <w:rsid w:val="004E5700"/>
    <w:rsid w:val="004F3092"/>
    <w:rsid w:val="004F491D"/>
    <w:rsid w:val="004F5944"/>
    <w:rsid w:val="004F72FD"/>
    <w:rsid w:val="004F7EB7"/>
    <w:rsid w:val="005069EC"/>
    <w:rsid w:val="00510530"/>
    <w:rsid w:val="00511162"/>
    <w:rsid w:val="00511BEE"/>
    <w:rsid w:val="005125AC"/>
    <w:rsid w:val="00512E5B"/>
    <w:rsid w:val="00514BB7"/>
    <w:rsid w:val="005153D5"/>
    <w:rsid w:val="00516163"/>
    <w:rsid w:val="0052128F"/>
    <w:rsid w:val="00521FF5"/>
    <w:rsid w:val="0052329F"/>
    <w:rsid w:val="00537394"/>
    <w:rsid w:val="0054155A"/>
    <w:rsid w:val="005426F3"/>
    <w:rsid w:val="0054480E"/>
    <w:rsid w:val="00544F3D"/>
    <w:rsid w:val="00547674"/>
    <w:rsid w:val="00551AD0"/>
    <w:rsid w:val="00553395"/>
    <w:rsid w:val="0055705E"/>
    <w:rsid w:val="005577F7"/>
    <w:rsid w:val="00560778"/>
    <w:rsid w:val="005624CB"/>
    <w:rsid w:val="0056673D"/>
    <w:rsid w:val="00572C29"/>
    <w:rsid w:val="00574345"/>
    <w:rsid w:val="0057606B"/>
    <w:rsid w:val="005779C0"/>
    <w:rsid w:val="00577C03"/>
    <w:rsid w:val="00577F80"/>
    <w:rsid w:val="00580F49"/>
    <w:rsid w:val="00584CBC"/>
    <w:rsid w:val="00585253"/>
    <w:rsid w:val="005854A8"/>
    <w:rsid w:val="0058729C"/>
    <w:rsid w:val="005926EF"/>
    <w:rsid w:val="00593601"/>
    <w:rsid w:val="0059586E"/>
    <w:rsid w:val="005A0AEA"/>
    <w:rsid w:val="005A7E32"/>
    <w:rsid w:val="005B41F1"/>
    <w:rsid w:val="005B68BE"/>
    <w:rsid w:val="005C079D"/>
    <w:rsid w:val="005C421F"/>
    <w:rsid w:val="005C7BE0"/>
    <w:rsid w:val="005D2644"/>
    <w:rsid w:val="005D3196"/>
    <w:rsid w:val="005D5CC7"/>
    <w:rsid w:val="005D6CEB"/>
    <w:rsid w:val="005E60CF"/>
    <w:rsid w:val="005F310F"/>
    <w:rsid w:val="005F5BEC"/>
    <w:rsid w:val="005F684C"/>
    <w:rsid w:val="005F6F59"/>
    <w:rsid w:val="00611956"/>
    <w:rsid w:val="0061787D"/>
    <w:rsid w:val="0062322E"/>
    <w:rsid w:val="0062713C"/>
    <w:rsid w:val="00630725"/>
    <w:rsid w:val="00635373"/>
    <w:rsid w:val="00635DEC"/>
    <w:rsid w:val="00637283"/>
    <w:rsid w:val="00644E52"/>
    <w:rsid w:val="00645E4C"/>
    <w:rsid w:val="00652827"/>
    <w:rsid w:val="00653AAD"/>
    <w:rsid w:val="006544FF"/>
    <w:rsid w:val="006569CF"/>
    <w:rsid w:val="00661C51"/>
    <w:rsid w:val="00663F30"/>
    <w:rsid w:val="00665F66"/>
    <w:rsid w:val="00667D85"/>
    <w:rsid w:val="00670B61"/>
    <w:rsid w:val="00670F38"/>
    <w:rsid w:val="00674FA1"/>
    <w:rsid w:val="006817F1"/>
    <w:rsid w:val="00682D8B"/>
    <w:rsid w:val="0068335E"/>
    <w:rsid w:val="00685481"/>
    <w:rsid w:val="006863E1"/>
    <w:rsid w:val="00687899"/>
    <w:rsid w:val="00687CC3"/>
    <w:rsid w:val="006923E2"/>
    <w:rsid w:val="00697587"/>
    <w:rsid w:val="006A0258"/>
    <w:rsid w:val="006A1285"/>
    <w:rsid w:val="006A32A1"/>
    <w:rsid w:val="006A3C27"/>
    <w:rsid w:val="006A4691"/>
    <w:rsid w:val="006A71A9"/>
    <w:rsid w:val="006B17EA"/>
    <w:rsid w:val="006B30B5"/>
    <w:rsid w:val="006B7315"/>
    <w:rsid w:val="006C35DC"/>
    <w:rsid w:val="006C57CD"/>
    <w:rsid w:val="006C75B2"/>
    <w:rsid w:val="006D01B0"/>
    <w:rsid w:val="006D1FF2"/>
    <w:rsid w:val="006E0EA3"/>
    <w:rsid w:val="006E25CA"/>
    <w:rsid w:val="006E78E4"/>
    <w:rsid w:val="006F4A8D"/>
    <w:rsid w:val="00700264"/>
    <w:rsid w:val="00703C73"/>
    <w:rsid w:val="00704C19"/>
    <w:rsid w:val="00711D53"/>
    <w:rsid w:val="00711F4F"/>
    <w:rsid w:val="00714429"/>
    <w:rsid w:val="007153DC"/>
    <w:rsid w:val="0071577C"/>
    <w:rsid w:val="00715E73"/>
    <w:rsid w:val="00716FF0"/>
    <w:rsid w:val="0072315E"/>
    <w:rsid w:val="00726E88"/>
    <w:rsid w:val="007404B9"/>
    <w:rsid w:val="007434DC"/>
    <w:rsid w:val="0074653F"/>
    <w:rsid w:val="00753372"/>
    <w:rsid w:val="00755917"/>
    <w:rsid w:val="007573A5"/>
    <w:rsid w:val="00760FD0"/>
    <w:rsid w:val="00767A3A"/>
    <w:rsid w:val="00772BD4"/>
    <w:rsid w:val="007774E1"/>
    <w:rsid w:val="00777FE4"/>
    <w:rsid w:val="00781E1F"/>
    <w:rsid w:val="00782A78"/>
    <w:rsid w:val="00792629"/>
    <w:rsid w:val="007971D5"/>
    <w:rsid w:val="007A2843"/>
    <w:rsid w:val="007A513F"/>
    <w:rsid w:val="007A6C4A"/>
    <w:rsid w:val="007A6E7C"/>
    <w:rsid w:val="007A7AC8"/>
    <w:rsid w:val="007B1C92"/>
    <w:rsid w:val="007B1D7B"/>
    <w:rsid w:val="007B68A3"/>
    <w:rsid w:val="007B6BAB"/>
    <w:rsid w:val="007B7188"/>
    <w:rsid w:val="007B7C07"/>
    <w:rsid w:val="007C2A2C"/>
    <w:rsid w:val="007C2DDB"/>
    <w:rsid w:val="007C340E"/>
    <w:rsid w:val="007C3D3D"/>
    <w:rsid w:val="007C6BF9"/>
    <w:rsid w:val="007C78C3"/>
    <w:rsid w:val="007D5721"/>
    <w:rsid w:val="007D5BB9"/>
    <w:rsid w:val="007E11CA"/>
    <w:rsid w:val="007E5078"/>
    <w:rsid w:val="007E7044"/>
    <w:rsid w:val="007F0472"/>
    <w:rsid w:val="007F154A"/>
    <w:rsid w:val="007F2B44"/>
    <w:rsid w:val="007F2D5B"/>
    <w:rsid w:val="00802B43"/>
    <w:rsid w:val="00811782"/>
    <w:rsid w:val="008130AD"/>
    <w:rsid w:val="00816CCC"/>
    <w:rsid w:val="00820100"/>
    <w:rsid w:val="00820E53"/>
    <w:rsid w:val="00825EAC"/>
    <w:rsid w:val="00830CA8"/>
    <w:rsid w:val="00833EDC"/>
    <w:rsid w:val="00841F52"/>
    <w:rsid w:val="008427B0"/>
    <w:rsid w:val="00844CB5"/>
    <w:rsid w:val="00850713"/>
    <w:rsid w:val="00850ADA"/>
    <w:rsid w:val="008535CB"/>
    <w:rsid w:val="008549E1"/>
    <w:rsid w:val="0086521D"/>
    <w:rsid w:val="00866F69"/>
    <w:rsid w:val="00867973"/>
    <w:rsid w:val="00873679"/>
    <w:rsid w:val="00874FB3"/>
    <w:rsid w:val="00880C4D"/>
    <w:rsid w:val="00882630"/>
    <w:rsid w:val="008827F7"/>
    <w:rsid w:val="00886FE6"/>
    <w:rsid w:val="00887C0C"/>
    <w:rsid w:val="00890855"/>
    <w:rsid w:val="008944B9"/>
    <w:rsid w:val="00896931"/>
    <w:rsid w:val="00896D99"/>
    <w:rsid w:val="008A04D9"/>
    <w:rsid w:val="008A1A2D"/>
    <w:rsid w:val="008B387B"/>
    <w:rsid w:val="008B7A80"/>
    <w:rsid w:val="008C0747"/>
    <w:rsid w:val="008C1D3C"/>
    <w:rsid w:val="008C7EB0"/>
    <w:rsid w:val="008D11C5"/>
    <w:rsid w:val="008E46A1"/>
    <w:rsid w:val="008E626B"/>
    <w:rsid w:val="008F0A71"/>
    <w:rsid w:val="008F4079"/>
    <w:rsid w:val="008F6476"/>
    <w:rsid w:val="008F6852"/>
    <w:rsid w:val="00902C7E"/>
    <w:rsid w:val="00902EBB"/>
    <w:rsid w:val="00906EF8"/>
    <w:rsid w:val="009076D9"/>
    <w:rsid w:val="00911493"/>
    <w:rsid w:val="009132D2"/>
    <w:rsid w:val="00913C57"/>
    <w:rsid w:val="00915288"/>
    <w:rsid w:val="00915E82"/>
    <w:rsid w:val="00915EAD"/>
    <w:rsid w:val="009220FA"/>
    <w:rsid w:val="009246B3"/>
    <w:rsid w:val="00927142"/>
    <w:rsid w:val="009277BB"/>
    <w:rsid w:val="00927AE6"/>
    <w:rsid w:val="009301B0"/>
    <w:rsid w:val="00931351"/>
    <w:rsid w:val="0093152C"/>
    <w:rsid w:val="0093192C"/>
    <w:rsid w:val="0093263F"/>
    <w:rsid w:val="009357A1"/>
    <w:rsid w:val="00940CD5"/>
    <w:rsid w:val="009430CD"/>
    <w:rsid w:val="009466BA"/>
    <w:rsid w:val="00954C7E"/>
    <w:rsid w:val="00957598"/>
    <w:rsid w:val="00957E51"/>
    <w:rsid w:val="009600F5"/>
    <w:rsid w:val="009604E2"/>
    <w:rsid w:val="00961814"/>
    <w:rsid w:val="00967485"/>
    <w:rsid w:val="00972568"/>
    <w:rsid w:val="00973004"/>
    <w:rsid w:val="00973378"/>
    <w:rsid w:val="00974D82"/>
    <w:rsid w:val="00977ACE"/>
    <w:rsid w:val="00987DDB"/>
    <w:rsid w:val="00995668"/>
    <w:rsid w:val="009973D5"/>
    <w:rsid w:val="00997A36"/>
    <w:rsid w:val="009A0F67"/>
    <w:rsid w:val="009A33EA"/>
    <w:rsid w:val="009A67B0"/>
    <w:rsid w:val="009B5F34"/>
    <w:rsid w:val="009B618A"/>
    <w:rsid w:val="009C3585"/>
    <w:rsid w:val="009C6F39"/>
    <w:rsid w:val="009E4861"/>
    <w:rsid w:val="009E620D"/>
    <w:rsid w:val="009F4F1A"/>
    <w:rsid w:val="00A01408"/>
    <w:rsid w:val="00A02DE3"/>
    <w:rsid w:val="00A150A1"/>
    <w:rsid w:val="00A1567F"/>
    <w:rsid w:val="00A17916"/>
    <w:rsid w:val="00A20142"/>
    <w:rsid w:val="00A234D1"/>
    <w:rsid w:val="00A26C71"/>
    <w:rsid w:val="00A32B73"/>
    <w:rsid w:val="00A35DB5"/>
    <w:rsid w:val="00A41B2B"/>
    <w:rsid w:val="00A47FBF"/>
    <w:rsid w:val="00A50A80"/>
    <w:rsid w:val="00A50EAA"/>
    <w:rsid w:val="00A55F5B"/>
    <w:rsid w:val="00A56B1C"/>
    <w:rsid w:val="00A60617"/>
    <w:rsid w:val="00A61F4A"/>
    <w:rsid w:val="00A774B6"/>
    <w:rsid w:val="00A81864"/>
    <w:rsid w:val="00A828D4"/>
    <w:rsid w:val="00A82D8C"/>
    <w:rsid w:val="00A83EFA"/>
    <w:rsid w:val="00A85B82"/>
    <w:rsid w:val="00A930C4"/>
    <w:rsid w:val="00A97A72"/>
    <w:rsid w:val="00AA1419"/>
    <w:rsid w:val="00AA4ECB"/>
    <w:rsid w:val="00AB341E"/>
    <w:rsid w:val="00AB44FC"/>
    <w:rsid w:val="00AB5A37"/>
    <w:rsid w:val="00AC188B"/>
    <w:rsid w:val="00AD12D4"/>
    <w:rsid w:val="00AD28DC"/>
    <w:rsid w:val="00AD342D"/>
    <w:rsid w:val="00AD376B"/>
    <w:rsid w:val="00AE0799"/>
    <w:rsid w:val="00AE2ACA"/>
    <w:rsid w:val="00AE2E77"/>
    <w:rsid w:val="00AF2343"/>
    <w:rsid w:val="00AF49A6"/>
    <w:rsid w:val="00B0215C"/>
    <w:rsid w:val="00B0477A"/>
    <w:rsid w:val="00B10492"/>
    <w:rsid w:val="00B10BBB"/>
    <w:rsid w:val="00B12532"/>
    <w:rsid w:val="00B12A7B"/>
    <w:rsid w:val="00B20D19"/>
    <w:rsid w:val="00B20FDD"/>
    <w:rsid w:val="00B26622"/>
    <w:rsid w:val="00B31627"/>
    <w:rsid w:val="00B35641"/>
    <w:rsid w:val="00B41286"/>
    <w:rsid w:val="00B41462"/>
    <w:rsid w:val="00B454A1"/>
    <w:rsid w:val="00B465B2"/>
    <w:rsid w:val="00B5308B"/>
    <w:rsid w:val="00B646E4"/>
    <w:rsid w:val="00B6665C"/>
    <w:rsid w:val="00B73021"/>
    <w:rsid w:val="00B737B1"/>
    <w:rsid w:val="00B77FC2"/>
    <w:rsid w:val="00B85B8A"/>
    <w:rsid w:val="00B86164"/>
    <w:rsid w:val="00B90000"/>
    <w:rsid w:val="00B903FA"/>
    <w:rsid w:val="00B920FF"/>
    <w:rsid w:val="00BA160F"/>
    <w:rsid w:val="00BA38FE"/>
    <w:rsid w:val="00BA41E9"/>
    <w:rsid w:val="00BA4DD1"/>
    <w:rsid w:val="00BB1E41"/>
    <w:rsid w:val="00BB2400"/>
    <w:rsid w:val="00BC4156"/>
    <w:rsid w:val="00BC78F7"/>
    <w:rsid w:val="00BD065A"/>
    <w:rsid w:val="00BD3ACB"/>
    <w:rsid w:val="00BD6E8B"/>
    <w:rsid w:val="00BD7201"/>
    <w:rsid w:val="00BE75C8"/>
    <w:rsid w:val="00BF0919"/>
    <w:rsid w:val="00C04EAA"/>
    <w:rsid w:val="00C0623B"/>
    <w:rsid w:val="00C06E50"/>
    <w:rsid w:val="00C148C9"/>
    <w:rsid w:val="00C23C12"/>
    <w:rsid w:val="00C24A1D"/>
    <w:rsid w:val="00C25057"/>
    <w:rsid w:val="00C27F00"/>
    <w:rsid w:val="00C300CF"/>
    <w:rsid w:val="00C34590"/>
    <w:rsid w:val="00C34FD8"/>
    <w:rsid w:val="00C35FD3"/>
    <w:rsid w:val="00C417EC"/>
    <w:rsid w:val="00C441D6"/>
    <w:rsid w:val="00C4449E"/>
    <w:rsid w:val="00C557E8"/>
    <w:rsid w:val="00C578E9"/>
    <w:rsid w:val="00C57D4E"/>
    <w:rsid w:val="00C623AF"/>
    <w:rsid w:val="00C65ADB"/>
    <w:rsid w:val="00C667DF"/>
    <w:rsid w:val="00C72EC9"/>
    <w:rsid w:val="00C74F8D"/>
    <w:rsid w:val="00C87629"/>
    <w:rsid w:val="00C916CB"/>
    <w:rsid w:val="00C92CD7"/>
    <w:rsid w:val="00C94764"/>
    <w:rsid w:val="00C94DBB"/>
    <w:rsid w:val="00C95D7A"/>
    <w:rsid w:val="00C97D83"/>
    <w:rsid w:val="00CA2C00"/>
    <w:rsid w:val="00CB19E8"/>
    <w:rsid w:val="00CB2F90"/>
    <w:rsid w:val="00CB32CE"/>
    <w:rsid w:val="00CB5680"/>
    <w:rsid w:val="00CC5487"/>
    <w:rsid w:val="00CD380D"/>
    <w:rsid w:val="00CF03B2"/>
    <w:rsid w:val="00CF1A92"/>
    <w:rsid w:val="00CF45ED"/>
    <w:rsid w:val="00CF6896"/>
    <w:rsid w:val="00D0367F"/>
    <w:rsid w:val="00D107F4"/>
    <w:rsid w:val="00D15878"/>
    <w:rsid w:val="00D16BE1"/>
    <w:rsid w:val="00D175BC"/>
    <w:rsid w:val="00D212DD"/>
    <w:rsid w:val="00D2294A"/>
    <w:rsid w:val="00D26052"/>
    <w:rsid w:val="00D31E30"/>
    <w:rsid w:val="00D33A5E"/>
    <w:rsid w:val="00D34459"/>
    <w:rsid w:val="00D4038D"/>
    <w:rsid w:val="00D43579"/>
    <w:rsid w:val="00D520D4"/>
    <w:rsid w:val="00D55452"/>
    <w:rsid w:val="00D61CBF"/>
    <w:rsid w:val="00D6453D"/>
    <w:rsid w:val="00D67D89"/>
    <w:rsid w:val="00D71F4E"/>
    <w:rsid w:val="00D72466"/>
    <w:rsid w:val="00D73EBC"/>
    <w:rsid w:val="00D93FBF"/>
    <w:rsid w:val="00D94555"/>
    <w:rsid w:val="00DA5F82"/>
    <w:rsid w:val="00DA72A2"/>
    <w:rsid w:val="00DB2978"/>
    <w:rsid w:val="00DB45AF"/>
    <w:rsid w:val="00DC30C6"/>
    <w:rsid w:val="00DC449F"/>
    <w:rsid w:val="00DC6982"/>
    <w:rsid w:val="00DC7D24"/>
    <w:rsid w:val="00DD026A"/>
    <w:rsid w:val="00DD157F"/>
    <w:rsid w:val="00DD4851"/>
    <w:rsid w:val="00DE16C7"/>
    <w:rsid w:val="00DE1E74"/>
    <w:rsid w:val="00DE59A4"/>
    <w:rsid w:val="00DE66BC"/>
    <w:rsid w:val="00DF1D9C"/>
    <w:rsid w:val="00DF4759"/>
    <w:rsid w:val="00E12D5A"/>
    <w:rsid w:val="00E13B3A"/>
    <w:rsid w:val="00E14A2C"/>
    <w:rsid w:val="00E15594"/>
    <w:rsid w:val="00E207D6"/>
    <w:rsid w:val="00E330A5"/>
    <w:rsid w:val="00E36DED"/>
    <w:rsid w:val="00E406CA"/>
    <w:rsid w:val="00E40AE3"/>
    <w:rsid w:val="00E459E6"/>
    <w:rsid w:val="00E501E6"/>
    <w:rsid w:val="00E53F98"/>
    <w:rsid w:val="00E55B7F"/>
    <w:rsid w:val="00E67D24"/>
    <w:rsid w:val="00E7016F"/>
    <w:rsid w:val="00E712F8"/>
    <w:rsid w:val="00E74D03"/>
    <w:rsid w:val="00E7623E"/>
    <w:rsid w:val="00E8194A"/>
    <w:rsid w:val="00E825EF"/>
    <w:rsid w:val="00E840D1"/>
    <w:rsid w:val="00E8459F"/>
    <w:rsid w:val="00E85DB5"/>
    <w:rsid w:val="00E906E5"/>
    <w:rsid w:val="00E94658"/>
    <w:rsid w:val="00E95AAC"/>
    <w:rsid w:val="00E9630B"/>
    <w:rsid w:val="00E97A74"/>
    <w:rsid w:val="00EA1E77"/>
    <w:rsid w:val="00EA219E"/>
    <w:rsid w:val="00EB11F5"/>
    <w:rsid w:val="00EB2099"/>
    <w:rsid w:val="00EB327E"/>
    <w:rsid w:val="00EB3400"/>
    <w:rsid w:val="00EB69E9"/>
    <w:rsid w:val="00EC193B"/>
    <w:rsid w:val="00EC4122"/>
    <w:rsid w:val="00EC4585"/>
    <w:rsid w:val="00EE0042"/>
    <w:rsid w:val="00EE12BF"/>
    <w:rsid w:val="00EE536F"/>
    <w:rsid w:val="00EE5787"/>
    <w:rsid w:val="00EE634A"/>
    <w:rsid w:val="00EF07AE"/>
    <w:rsid w:val="00EF48EA"/>
    <w:rsid w:val="00EF78F1"/>
    <w:rsid w:val="00F04B7D"/>
    <w:rsid w:val="00F102D7"/>
    <w:rsid w:val="00F13059"/>
    <w:rsid w:val="00F209DB"/>
    <w:rsid w:val="00F231DD"/>
    <w:rsid w:val="00F27878"/>
    <w:rsid w:val="00F33ECA"/>
    <w:rsid w:val="00F3525A"/>
    <w:rsid w:val="00F37815"/>
    <w:rsid w:val="00F57298"/>
    <w:rsid w:val="00F6581E"/>
    <w:rsid w:val="00F701AA"/>
    <w:rsid w:val="00F712A8"/>
    <w:rsid w:val="00F71359"/>
    <w:rsid w:val="00F72748"/>
    <w:rsid w:val="00F778D5"/>
    <w:rsid w:val="00F847C2"/>
    <w:rsid w:val="00F85FFA"/>
    <w:rsid w:val="00F86501"/>
    <w:rsid w:val="00F92391"/>
    <w:rsid w:val="00F92DD6"/>
    <w:rsid w:val="00FA1005"/>
    <w:rsid w:val="00FA1873"/>
    <w:rsid w:val="00FC07A1"/>
    <w:rsid w:val="00FC103F"/>
    <w:rsid w:val="00FC239D"/>
    <w:rsid w:val="00FC4BC9"/>
    <w:rsid w:val="00FD1B0A"/>
    <w:rsid w:val="00FE2472"/>
    <w:rsid w:val="00FE7836"/>
    <w:rsid w:val="00FF0403"/>
    <w:rsid w:val="00FF2059"/>
    <w:rsid w:val="016C1DE6"/>
    <w:rsid w:val="04694A46"/>
    <w:rsid w:val="068316CE"/>
    <w:rsid w:val="0698107A"/>
    <w:rsid w:val="06CF59C0"/>
    <w:rsid w:val="07C65424"/>
    <w:rsid w:val="07CE3227"/>
    <w:rsid w:val="08976C75"/>
    <w:rsid w:val="098E6105"/>
    <w:rsid w:val="0A82058D"/>
    <w:rsid w:val="0B355606"/>
    <w:rsid w:val="0B954BE4"/>
    <w:rsid w:val="0C8459C2"/>
    <w:rsid w:val="0D3752DF"/>
    <w:rsid w:val="0DE635F1"/>
    <w:rsid w:val="0E4D32D9"/>
    <w:rsid w:val="0F0444AD"/>
    <w:rsid w:val="0F154B06"/>
    <w:rsid w:val="10743B2B"/>
    <w:rsid w:val="13B418E0"/>
    <w:rsid w:val="15EA6A72"/>
    <w:rsid w:val="162C2FE9"/>
    <w:rsid w:val="182A4A79"/>
    <w:rsid w:val="1A04264E"/>
    <w:rsid w:val="1BC211C3"/>
    <w:rsid w:val="1CCE231B"/>
    <w:rsid w:val="1EC22FEB"/>
    <w:rsid w:val="20F70B6E"/>
    <w:rsid w:val="211D3613"/>
    <w:rsid w:val="235A0C9A"/>
    <w:rsid w:val="247A75E9"/>
    <w:rsid w:val="24B07D26"/>
    <w:rsid w:val="24C02241"/>
    <w:rsid w:val="24F36A82"/>
    <w:rsid w:val="25E57D63"/>
    <w:rsid w:val="25F62CAF"/>
    <w:rsid w:val="2660539D"/>
    <w:rsid w:val="28502D26"/>
    <w:rsid w:val="28A044B5"/>
    <w:rsid w:val="29846F92"/>
    <w:rsid w:val="29ED7CFB"/>
    <w:rsid w:val="2C1268AC"/>
    <w:rsid w:val="303E37B6"/>
    <w:rsid w:val="309B42A6"/>
    <w:rsid w:val="31697054"/>
    <w:rsid w:val="31F12B67"/>
    <w:rsid w:val="32EB75A3"/>
    <w:rsid w:val="34130ADA"/>
    <w:rsid w:val="34EA455F"/>
    <w:rsid w:val="35050D10"/>
    <w:rsid w:val="396E7ECA"/>
    <w:rsid w:val="3C033097"/>
    <w:rsid w:val="3CA63F76"/>
    <w:rsid w:val="3CC320D9"/>
    <w:rsid w:val="3DE132FA"/>
    <w:rsid w:val="3F987ECF"/>
    <w:rsid w:val="405E38FE"/>
    <w:rsid w:val="41094CA1"/>
    <w:rsid w:val="412865C1"/>
    <w:rsid w:val="43301CF1"/>
    <w:rsid w:val="434F0468"/>
    <w:rsid w:val="44D1552E"/>
    <w:rsid w:val="45173940"/>
    <w:rsid w:val="45DB0197"/>
    <w:rsid w:val="46125FA7"/>
    <w:rsid w:val="46602F82"/>
    <w:rsid w:val="47A00D17"/>
    <w:rsid w:val="485C6FFD"/>
    <w:rsid w:val="48CD736E"/>
    <w:rsid w:val="4A23085C"/>
    <w:rsid w:val="4A4A6B9F"/>
    <w:rsid w:val="4B0C76B8"/>
    <w:rsid w:val="4B805085"/>
    <w:rsid w:val="4BAD1BC0"/>
    <w:rsid w:val="4E000F22"/>
    <w:rsid w:val="4EDF2226"/>
    <w:rsid w:val="4F266A55"/>
    <w:rsid w:val="4F916FE9"/>
    <w:rsid w:val="50645F5D"/>
    <w:rsid w:val="50D91E16"/>
    <w:rsid w:val="52491A8D"/>
    <w:rsid w:val="53B714E0"/>
    <w:rsid w:val="547660FD"/>
    <w:rsid w:val="550C73FA"/>
    <w:rsid w:val="581331D1"/>
    <w:rsid w:val="58A0662E"/>
    <w:rsid w:val="59523F58"/>
    <w:rsid w:val="5A087F01"/>
    <w:rsid w:val="5ADC5F06"/>
    <w:rsid w:val="5BD712C6"/>
    <w:rsid w:val="5C1F55D0"/>
    <w:rsid w:val="5C201121"/>
    <w:rsid w:val="5C357D73"/>
    <w:rsid w:val="5C9154D7"/>
    <w:rsid w:val="5D335B25"/>
    <w:rsid w:val="5D405D1E"/>
    <w:rsid w:val="5D612877"/>
    <w:rsid w:val="5D7212DC"/>
    <w:rsid w:val="5E3773FA"/>
    <w:rsid w:val="5EED6717"/>
    <w:rsid w:val="5F874269"/>
    <w:rsid w:val="5FCF094A"/>
    <w:rsid w:val="610C1548"/>
    <w:rsid w:val="61DE1212"/>
    <w:rsid w:val="635210F4"/>
    <w:rsid w:val="65E119EF"/>
    <w:rsid w:val="66EC0C01"/>
    <w:rsid w:val="685956C1"/>
    <w:rsid w:val="69280A1D"/>
    <w:rsid w:val="6B0D2B82"/>
    <w:rsid w:val="6BCA6438"/>
    <w:rsid w:val="6C12187B"/>
    <w:rsid w:val="6CC5305A"/>
    <w:rsid w:val="6D390A55"/>
    <w:rsid w:val="6DA16745"/>
    <w:rsid w:val="6DDD6726"/>
    <w:rsid w:val="6E41571E"/>
    <w:rsid w:val="6EC31A27"/>
    <w:rsid w:val="6F37372B"/>
    <w:rsid w:val="6F4F7231"/>
    <w:rsid w:val="70017EE0"/>
    <w:rsid w:val="71943FDC"/>
    <w:rsid w:val="71D45FA7"/>
    <w:rsid w:val="72137F42"/>
    <w:rsid w:val="731A36C2"/>
    <w:rsid w:val="73D03852"/>
    <w:rsid w:val="757702D9"/>
    <w:rsid w:val="75851341"/>
    <w:rsid w:val="76B71373"/>
    <w:rsid w:val="773537A2"/>
    <w:rsid w:val="78466F81"/>
    <w:rsid w:val="788F00CB"/>
    <w:rsid w:val="792B111A"/>
    <w:rsid w:val="7A405F11"/>
    <w:rsid w:val="7A865028"/>
    <w:rsid w:val="7AAC4D98"/>
    <w:rsid w:val="7B43006F"/>
    <w:rsid w:val="7B860A65"/>
    <w:rsid w:val="7B8F1D08"/>
    <w:rsid w:val="7DB13746"/>
    <w:rsid w:val="7F093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ocked="1"/>
    <w:lsdException w:qFormat="1" w:unhideWhenUsed="0" w:uiPriority="0" w:semiHidden="0" w:name="heading 4" w:locked="1"/>
    <w:lsdException w:qFormat="1" w:unhideWhenUsed="0" w:uiPriority="9"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76"/>
    <w:qFormat/>
    <w:locked/>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61"/>
    <w:qFormat/>
    <w:locked/>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7">
    <w:name w:val="heading 5"/>
    <w:basedOn w:val="1"/>
    <w:next w:val="1"/>
    <w:link w:val="57"/>
    <w:qFormat/>
    <w:locked/>
    <w:uiPriority w:val="9"/>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50"/>
    <w:qFormat/>
    <w:locked/>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75"/>
    <w:qFormat/>
    <w:locked/>
    <w:uiPriority w:val="0"/>
    <w:pPr>
      <w:keepNext/>
      <w:keepLines/>
      <w:numPr>
        <w:ilvl w:val="6"/>
        <w:numId w:val="1"/>
      </w:numPr>
      <w:spacing w:before="240" w:after="64" w:line="320" w:lineRule="auto"/>
      <w:outlineLvl w:val="6"/>
    </w:pPr>
    <w:rPr>
      <w:b/>
      <w:bCs/>
      <w:sz w:val="24"/>
      <w:szCs w:val="24"/>
    </w:rPr>
  </w:style>
  <w:style w:type="paragraph" w:styleId="10">
    <w:name w:val="heading 8"/>
    <w:basedOn w:val="1"/>
    <w:next w:val="1"/>
    <w:link w:val="59"/>
    <w:qFormat/>
    <w:locked/>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56"/>
    <w:qFormat/>
    <w:locked/>
    <w:uiPriority w:val="0"/>
    <w:pPr>
      <w:keepNext/>
      <w:keepLines/>
      <w:numPr>
        <w:ilvl w:val="8"/>
        <w:numId w:val="1"/>
      </w:numPr>
      <w:spacing w:before="240" w:after="64" w:line="320" w:lineRule="auto"/>
      <w:outlineLvl w:val="8"/>
    </w:pPr>
    <w:rPr>
      <w:rFonts w:ascii="Arial" w:hAnsi="Arial" w:eastAsia="黑体"/>
    </w:rPr>
  </w:style>
  <w:style w:type="character" w:default="1" w:styleId="30">
    <w:name w:val="Default Paragraph Font"/>
    <w:semiHidden/>
    <w:qFormat/>
    <w:uiPriority w:val="99"/>
  </w:style>
  <w:style w:type="table" w:default="1" w:styleId="28">
    <w:name w:val="Normal Table"/>
    <w:unhideWhenUsed/>
    <w:qFormat/>
    <w:uiPriority w:val="99"/>
    <w:tblPr>
      <w:tblCellMar>
        <w:top w:w="0" w:type="dxa"/>
        <w:left w:w="108" w:type="dxa"/>
        <w:bottom w:w="0" w:type="dxa"/>
        <w:right w:w="108" w:type="dxa"/>
      </w:tblCellMar>
    </w:tblPr>
  </w:style>
  <w:style w:type="paragraph" w:styleId="2">
    <w:name w:val="Body Text Indent"/>
    <w:basedOn w:val="1"/>
    <w:link w:val="67"/>
    <w:qFormat/>
    <w:uiPriority w:val="0"/>
    <w:pPr>
      <w:ind w:left="1263" w:leftChars="101" w:hanging="944" w:hangingChars="299"/>
    </w:pPr>
    <w:rPr>
      <w:rFonts w:eastAsia="仿宋_GB2312"/>
      <w:kern w:val="0"/>
      <w:sz w:val="32"/>
      <w:szCs w:val="24"/>
    </w:rPr>
  </w:style>
  <w:style w:type="paragraph" w:styleId="12">
    <w:name w:val="Normal Indent"/>
    <w:basedOn w:val="1"/>
    <w:next w:val="1"/>
    <w:unhideWhenUsed/>
    <w:qFormat/>
    <w:uiPriority w:val="99"/>
    <w:pPr>
      <w:ind w:firstLine="420" w:firstLineChars="200"/>
    </w:pPr>
    <w:rPr>
      <w:rFonts w:ascii="Calibri" w:hAnsi="Calibri" w:eastAsia="宋体" w:cs="Times New Roman"/>
      <w:szCs w:val="24"/>
    </w:rPr>
  </w:style>
  <w:style w:type="paragraph" w:styleId="13">
    <w:name w:val="List Bullet"/>
    <w:basedOn w:val="1"/>
    <w:unhideWhenUsed/>
    <w:qFormat/>
    <w:uiPriority w:val="99"/>
    <w:pPr>
      <w:numPr>
        <w:ilvl w:val="0"/>
        <w:numId w:val="2"/>
      </w:numPr>
      <w:contextualSpacing/>
    </w:pPr>
    <w:rPr>
      <w:rFonts w:ascii="Calibri" w:hAnsi="Calibri"/>
      <w:szCs w:val="22"/>
    </w:rPr>
  </w:style>
  <w:style w:type="paragraph" w:styleId="14">
    <w:name w:val="Document Map"/>
    <w:basedOn w:val="1"/>
    <w:link w:val="54"/>
    <w:qFormat/>
    <w:uiPriority w:val="0"/>
    <w:pPr>
      <w:shd w:val="clear" w:color="auto" w:fill="000080"/>
    </w:pPr>
    <w:rPr>
      <w:sz w:val="2"/>
      <w:szCs w:val="2"/>
    </w:rPr>
  </w:style>
  <w:style w:type="paragraph" w:styleId="15">
    <w:name w:val="annotation text"/>
    <w:basedOn w:val="1"/>
    <w:link w:val="72"/>
    <w:qFormat/>
    <w:uiPriority w:val="0"/>
    <w:pPr>
      <w:jc w:val="left"/>
    </w:pPr>
    <w:rPr>
      <w:rFonts w:ascii="Calibri" w:hAnsi="Calibri"/>
      <w:kern w:val="0"/>
      <w:sz w:val="20"/>
      <w:szCs w:val="20"/>
    </w:rPr>
  </w:style>
  <w:style w:type="paragraph" w:styleId="16">
    <w:name w:val="Body Text"/>
    <w:basedOn w:val="1"/>
    <w:link w:val="64"/>
    <w:qFormat/>
    <w:uiPriority w:val="0"/>
    <w:pPr>
      <w:spacing w:after="120"/>
    </w:pPr>
    <w:rPr>
      <w:color w:val="000000"/>
      <w:kern w:val="0"/>
      <w:sz w:val="24"/>
      <w:szCs w:val="24"/>
    </w:rPr>
  </w:style>
  <w:style w:type="paragraph" w:styleId="17">
    <w:name w:val="toc 3"/>
    <w:basedOn w:val="1"/>
    <w:next w:val="1"/>
    <w:qFormat/>
    <w:locked/>
    <w:uiPriority w:val="39"/>
    <w:pPr>
      <w:tabs>
        <w:tab w:val="right" w:leader="dot" w:pos="8296"/>
      </w:tabs>
      <w:ind w:firstLine="283" w:firstLineChars="135"/>
    </w:pPr>
  </w:style>
  <w:style w:type="paragraph" w:styleId="18">
    <w:name w:val="Plain Text"/>
    <w:basedOn w:val="1"/>
    <w:link w:val="68"/>
    <w:qFormat/>
    <w:uiPriority w:val="0"/>
    <w:pPr>
      <w:spacing w:beforeLines="50" w:afterLines="50" w:line="312" w:lineRule="auto"/>
      <w:ind w:firstLine="200" w:firstLineChars="200"/>
    </w:pPr>
    <w:rPr>
      <w:rFonts w:ascii="宋体" w:hAnsi="Courier New"/>
    </w:rPr>
  </w:style>
  <w:style w:type="paragraph" w:styleId="19">
    <w:name w:val="Date"/>
    <w:basedOn w:val="1"/>
    <w:next w:val="1"/>
    <w:link w:val="65"/>
    <w:qFormat/>
    <w:uiPriority w:val="0"/>
    <w:pPr>
      <w:ind w:left="100" w:leftChars="2500"/>
    </w:pPr>
    <w:rPr>
      <w:sz w:val="24"/>
      <w:szCs w:val="24"/>
    </w:rPr>
  </w:style>
  <w:style w:type="paragraph" w:styleId="20">
    <w:name w:val="Body Text Indent 2"/>
    <w:basedOn w:val="1"/>
    <w:link w:val="51"/>
    <w:qFormat/>
    <w:uiPriority w:val="0"/>
    <w:pPr>
      <w:widowControl/>
      <w:spacing w:line="360" w:lineRule="auto"/>
      <w:ind w:firstLine="560" w:firstLineChars="200"/>
    </w:pPr>
    <w:rPr>
      <w:rFonts w:ascii="仿宋_GB2312"/>
      <w:kern w:val="0"/>
      <w:sz w:val="28"/>
      <w:szCs w:val="24"/>
    </w:rPr>
  </w:style>
  <w:style w:type="paragraph" w:styleId="21">
    <w:name w:val="Balloon Text"/>
    <w:basedOn w:val="1"/>
    <w:link w:val="53"/>
    <w:qFormat/>
    <w:uiPriority w:val="0"/>
    <w:rPr>
      <w:kern w:val="0"/>
      <w:sz w:val="18"/>
      <w:szCs w:val="18"/>
    </w:rPr>
  </w:style>
  <w:style w:type="paragraph" w:styleId="22">
    <w:name w:val="footer"/>
    <w:basedOn w:val="1"/>
    <w:link w:val="70"/>
    <w:qFormat/>
    <w:uiPriority w:val="0"/>
    <w:pPr>
      <w:tabs>
        <w:tab w:val="center" w:pos="4153"/>
        <w:tab w:val="right" w:pos="8306"/>
      </w:tabs>
      <w:snapToGrid w:val="0"/>
      <w:jc w:val="left"/>
    </w:pPr>
    <w:rPr>
      <w:sz w:val="18"/>
      <w:szCs w:val="18"/>
    </w:rPr>
  </w:style>
  <w:style w:type="paragraph" w:styleId="23">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locked/>
    <w:uiPriority w:val="39"/>
  </w:style>
  <w:style w:type="paragraph" w:styleId="25">
    <w:name w:val="toc 2"/>
    <w:basedOn w:val="1"/>
    <w:next w:val="1"/>
    <w:qFormat/>
    <w:locked/>
    <w:uiPriority w:val="39"/>
    <w:pPr>
      <w:ind w:left="420" w:leftChars="200"/>
    </w:pPr>
  </w:style>
  <w:style w:type="paragraph" w:styleId="26">
    <w:name w:val="Normal (Web)"/>
    <w:basedOn w:val="1"/>
    <w:unhideWhenUsed/>
    <w:qFormat/>
    <w:uiPriority w:val="99"/>
    <w:pPr>
      <w:spacing w:before="0" w:beforeAutospacing="1" w:after="0" w:afterAutospacing="1"/>
      <w:ind w:left="0" w:right="0"/>
      <w:jc w:val="left"/>
    </w:pPr>
    <w:rPr>
      <w:rFonts w:ascii="宋体" w:hAnsi="宋体" w:eastAsia="宋体" w:cs="宋体"/>
      <w:kern w:val="0"/>
      <w:sz w:val="24"/>
      <w:lang w:val="en-US" w:eastAsia="zh-CN" w:bidi="ar"/>
    </w:rPr>
  </w:style>
  <w:style w:type="paragraph" w:styleId="27">
    <w:name w:val="annotation subject"/>
    <w:basedOn w:val="15"/>
    <w:next w:val="15"/>
    <w:link w:val="66"/>
    <w:qFormat/>
    <w:uiPriority w:val="0"/>
    <w:rPr>
      <w:b/>
      <w:bCs/>
    </w:rPr>
  </w:style>
  <w:style w:type="table" w:styleId="29">
    <w:name w:val="Table Grid"/>
    <w:basedOn w:val="28"/>
    <w:qFormat/>
    <w:uiPriority w:val="5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unhideWhenUsed/>
    <w:qFormat/>
    <w:uiPriority w:val="99"/>
    <w:rPr>
      <w:color w:val="0000FF"/>
      <w:u w:val="single"/>
    </w:rPr>
  </w:style>
  <w:style w:type="character" w:styleId="33">
    <w:name w:val="annotation reference"/>
    <w:unhideWhenUsed/>
    <w:qFormat/>
    <w:uiPriority w:val="0"/>
    <w:rPr>
      <w:sz w:val="21"/>
      <w:szCs w:val="21"/>
    </w:rPr>
  </w:style>
  <w:style w:type="character" w:customStyle="1" w:styleId="34">
    <w:name w:val="标题 2 Char"/>
    <w:link w:val="4"/>
    <w:qFormat/>
    <w:locked/>
    <w:uiPriority w:val="0"/>
    <w:rPr>
      <w:rFonts w:ascii="Cambria" w:hAnsi="Cambria" w:eastAsia="宋体" w:cs="Cambria"/>
      <w:b/>
      <w:bCs/>
      <w:kern w:val="2"/>
      <w:sz w:val="32"/>
      <w:szCs w:val="32"/>
    </w:rPr>
  </w:style>
  <w:style w:type="paragraph" w:customStyle="1" w:styleId="35">
    <w:name w:val="标题二"/>
    <w:basedOn w:val="36"/>
    <w:qFormat/>
    <w:uiPriority w:val="0"/>
    <w:pPr>
      <w:numPr>
        <w:ilvl w:val="1"/>
      </w:numPr>
      <w:spacing w:before="120" w:after="120"/>
      <w:outlineLvl w:val="1"/>
    </w:pPr>
  </w:style>
  <w:style w:type="paragraph" w:customStyle="1" w:styleId="36">
    <w:name w:val="标题一"/>
    <w:qFormat/>
    <w:uiPriority w:val="0"/>
    <w:pPr>
      <w:numPr>
        <w:ilvl w:val="0"/>
        <w:numId w:val="3"/>
      </w:numPr>
      <w:outlineLvl w:val="0"/>
    </w:pPr>
    <w:rPr>
      <w:rFonts w:ascii="仿宋_GB2312" w:hAnsi="Calibri" w:eastAsia="仿宋_GB2312" w:cs="Times New Roman"/>
      <w:b/>
      <w:kern w:val="2"/>
      <w:sz w:val="30"/>
      <w:szCs w:val="30"/>
      <w:lang w:val="en-US" w:eastAsia="zh-CN" w:bidi="ar-SA"/>
    </w:rPr>
  </w:style>
  <w:style w:type="character" w:customStyle="1" w:styleId="37">
    <w:name w:val="标题 1 Char"/>
    <w:link w:val="3"/>
    <w:qFormat/>
    <w:locked/>
    <w:uiPriority w:val="0"/>
    <w:rPr>
      <w:rFonts w:eastAsia="宋体"/>
      <w:b/>
      <w:bCs/>
      <w:kern w:val="44"/>
      <w:sz w:val="44"/>
      <w:szCs w:val="44"/>
      <w:lang w:val="en-US" w:eastAsia="zh-CN"/>
    </w:rPr>
  </w:style>
  <w:style w:type="paragraph" w:customStyle="1" w:styleId="38">
    <w:name w:val="列出段落4"/>
    <w:basedOn w:val="1"/>
    <w:qFormat/>
    <w:uiPriority w:val="0"/>
    <w:pPr>
      <w:ind w:firstLine="420" w:firstLineChars="200"/>
    </w:pPr>
    <w:rPr>
      <w:rFonts w:ascii="Calibri" w:hAnsi="Calibri"/>
      <w:szCs w:val="22"/>
    </w:rPr>
  </w:style>
  <w:style w:type="paragraph" w:customStyle="1" w:styleId="39">
    <w:name w:val="样式 右"/>
    <w:basedOn w:val="1"/>
    <w:qFormat/>
    <w:uiPriority w:val="99"/>
    <w:pPr>
      <w:snapToGrid w:val="0"/>
      <w:jc w:val="center"/>
    </w:pPr>
    <w:rPr>
      <w:rFonts w:ascii="宋体" w:hAnsi="宋体" w:cs="宋体"/>
      <w:color w:val="FF0000"/>
    </w:rPr>
  </w:style>
  <w:style w:type="paragraph" w:customStyle="1" w:styleId="40">
    <w:name w:val=" Char"/>
    <w:basedOn w:val="1"/>
    <w:qFormat/>
    <w:uiPriority w:val="0"/>
    <w:rPr>
      <w:szCs w:val="20"/>
    </w:rPr>
  </w:style>
  <w:style w:type="paragraph" w:customStyle="1" w:styleId="41">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b/>
      <w:bCs/>
      <w:kern w:val="0"/>
      <w:sz w:val="18"/>
      <w:szCs w:val="18"/>
    </w:rPr>
  </w:style>
  <w:style w:type="paragraph" w:customStyle="1" w:styleId="42">
    <w:name w:val="Char Char1 Char Char Char Char Char Char"/>
    <w:basedOn w:val="1"/>
    <w:qFormat/>
    <w:uiPriority w:val="0"/>
    <w:pPr>
      <w:widowControl/>
      <w:spacing w:after="160" w:line="240" w:lineRule="exact"/>
      <w:jc w:val="left"/>
    </w:pPr>
    <w:rPr>
      <w:szCs w:val="24"/>
    </w:rPr>
  </w:style>
  <w:style w:type="paragraph" w:customStyle="1" w:styleId="43">
    <w:name w:val="List Paragraph"/>
    <w:basedOn w:val="1"/>
    <w:qFormat/>
    <w:uiPriority w:val="0"/>
    <w:pPr>
      <w:ind w:firstLine="420" w:firstLineChars="200"/>
    </w:pPr>
    <w:rPr>
      <w:rFonts w:ascii="Calibri" w:hAnsi="Calibri"/>
      <w:szCs w:val="22"/>
    </w:rPr>
  </w:style>
  <w:style w:type="paragraph" w:customStyle="1" w:styleId="44">
    <w:name w:val="列出段落2"/>
    <w:basedOn w:val="1"/>
    <w:qFormat/>
    <w:uiPriority w:val="0"/>
    <w:pPr>
      <w:ind w:firstLine="420" w:firstLineChars="200"/>
    </w:pPr>
    <w:rPr>
      <w:rFonts w:ascii="Calibri" w:hAnsi="Calibri"/>
      <w:szCs w:val="22"/>
    </w:rPr>
  </w:style>
  <w:style w:type="paragraph" w:customStyle="1" w:styleId="45">
    <w:name w:val="段"/>
    <w:qFormat/>
    <w:uiPriority w:val="0"/>
    <w:pPr>
      <w:ind w:firstLine="200" w:firstLineChars="200"/>
      <w:jc w:val="both"/>
    </w:pPr>
    <w:rPr>
      <w:rFonts w:ascii="宋体" w:hAnsi="Times New Roman" w:eastAsia="宋体" w:cs="Times New Roman"/>
      <w:sz w:val="21"/>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图表目录1"/>
    <w:basedOn w:val="46"/>
    <w:next w:val="46"/>
    <w:qFormat/>
    <w:uiPriority w:val="0"/>
    <w:pPr>
      <w:ind w:left="200" w:leftChars="200" w:hanging="200" w:hangingChars="200"/>
    </w:pPr>
  </w:style>
  <w:style w:type="paragraph" w:customStyle="1" w:styleId="48">
    <w:name w:val="表格"/>
    <w:link w:val="55"/>
    <w:qFormat/>
    <w:uiPriority w:val="99"/>
    <w:pPr>
      <w:jc w:val="center"/>
    </w:pPr>
    <w:rPr>
      <w:rFonts w:ascii="Calibri" w:hAnsi="Calibri" w:eastAsia="宋体" w:cs="Calibri"/>
      <w:kern w:val="2"/>
      <w:sz w:val="21"/>
      <w:szCs w:val="21"/>
      <w:lang w:val="en-US" w:eastAsia="zh-CN" w:bidi="ar-SA"/>
    </w:rPr>
  </w:style>
  <w:style w:type="paragraph" w:customStyle="1" w:styleId="49">
    <w:name w:val="正文de样式"/>
    <w:qFormat/>
    <w:uiPriority w:val="0"/>
    <w:pPr>
      <w:adjustRightInd w:val="0"/>
      <w:snapToGrid w:val="0"/>
      <w:spacing w:line="312" w:lineRule="auto"/>
      <w:ind w:firstLine="200" w:firstLineChars="200"/>
      <w:jc w:val="both"/>
    </w:pPr>
    <w:rPr>
      <w:rFonts w:ascii="宋体" w:hAnsi="宋体" w:eastAsia="宋体" w:cs="Times New Roman"/>
      <w:kern w:val="2"/>
      <w:sz w:val="24"/>
      <w:szCs w:val="22"/>
      <w:lang w:val="en-US" w:eastAsia="zh-CN" w:bidi="ar-SA"/>
    </w:rPr>
  </w:style>
  <w:style w:type="character" w:customStyle="1" w:styleId="50">
    <w:name w:val="标题 6 Char"/>
    <w:link w:val="8"/>
    <w:qFormat/>
    <w:uiPriority w:val="0"/>
    <w:rPr>
      <w:rFonts w:ascii="Arial" w:hAnsi="Arial" w:eastAsia="黑体"/>
      <w:b/>
      <w:bCs/>
      <w:kern w:val="2"/>
      <w:sz w:val="24"/>
      <w:szCs w:val="24"/>
    </w:rPr>
  </w:style>
  <w:style w:type="character" w:customStyle="1" w:styleId="51">
    <w:name w:val="正文文本缩进 2 Char"/>
    <w:link w:val="20"/>
    <w:qFormat/>
    <w:uiPriority w:val="0"/>
    <w:rPr>
      <w:rFonts w:ascii="仿宋_GB2312"/>
      <w:sz w:val="28"/>
      <w:szCs w:val="24"/>
    </w:rPr>
  </w:style>
  <w:style w:type="character" w:customStyle="1" w:styleId="52">
    <w:name w:val="批注文字 Char1"/>
    <w:semiHidden/>
    <w:qFormat/>
    <w:uiPriority w:val="99"/>
    <w:rPr>
      <w:kern w:val="2"/>
      <w:sz w:val="21"/>
      <w:szCs w:val="21"/>
    </w:rPr>
  </w:style>
  <w:style w:type="character" w:customStyle="1" w:styleId="53">
    <w:name w:val="批注框文本 Char"/>
    <w:link w:val="21"/>
    <w:qFormat/>
    <w:uiPriority w:val="0"/>
    <w:rPr>
      <w:sz w:val="18"/>
      <w:szCs w:val="18"/>
    </w:rPr>
  </w:style>
  <w:style w:type="character" w:customStyle="1" w:styleId="54">
    <w:name w:val="文档结构图 Char"/>
    <w:link w:val="14"/>
    <w:qFormat/>
    <w:locked/>
    <w:uiPriority w:val="0"/>
    <w:rPr>
      <w:kern w:val="2"/>
      <w:sz w:val="2"/>
      <w:szCs w:val="2"/>
    </w:rPr>
  </w:style>
  <w:style w:type="character" w:customStyle="1" w:styleId="55">
    <w:name w:val="表格 Char"/>
    <w:link w:val="48"/>
    <w:qFormat/>
    <w:locked/>
    <w:uiPriority w:val="99"/>
    <w:rPr>
      <w:rFonts w:ascii="Calibri" w:hAnsi="Calibri" w:cs="Calibri"/>
      <w:kern w:val="2"/>
      <w:sz w:val="21"/>
      <w:szCs w:val="21"/>
      <w:lang w:val="en-US" w:eastAsia="zh-CN" w:bidi="ar-SA"/>
    </w:rPr>
  </w:style>
  <w:style w:type="character" w:customStyle="1" w:styleId="56">
    <w:name w:val="标题 9 Char"/>
    <w:link w:val="11"/>
    <w:qFormat/>
    <w:uiPriority w:val="0"/>
    <w:rPr>
      <w:rFonts w:ascii="Arial" w:hAnsi="Arial" w:eastAsia="黑体"/>
      <w:kern w:val="2"/>
      <w:sz w:val="21"/>
      <w:szCs w:val="21"/>
    </w:rPr>
  </w:style>
  <w:style w:type="character" w:customStyle="1" w:styleId="57">
    <w:name w:val="标题 5 Char"/>
    <w:link w:val="7"/>
    <w:qFormat/>
    <w:uiPriority w:val="9"/>
    <w:rPr>
      <w:b/>
      <w:bCs/>
      <w:kern w:val="2"/>
      <w:sz w:val="28"/>
      <w:szCs w:val="28"/>
    </w:rPr>
  </w:style>
  <w:style w:type="character" w:customStyle="1" w:styleId="58">
    <w:name w:val="批注框文本 Char1"/>
    <w:semiHidden/>
    <w:qFormat/>
    <w:uiPriority w:val="99"/>
    <w:rPr>
      <w:kern w:val="2"/>
      <w:sz w:val="18"/>
      <w:szCs w:val="18"/>
    </w:rPr>
  </w:style>
  <w:style w:type="character" w:customStyle="1" w:styleId="59">
    <w:name w:val="标题 8 Char"/>
    <w:link w:val="10"/>
    <w:qFormat/>
    <w:uiPriority w:val="0"/>
    <w:rPr>
      <w:rFonts w:ascii="Arial" w:hAnsi="Arial" w:eastAsia="黑体"/>
      <w:kern w:val="2"/>
      <w:sz w:val="24"/>
      <w:szCs w:val="24"/>
    </w:rPr>
  </w:style>
  <w:style w:type="character" w:customStyle="1" w:styleId="60">
    <w:name w:val="Plain Text Char"/>
    <w:qFormat/>
    <w:locked/>
    <w:uiPriority w:val="99"/>
    <w:rPr>
      <w:rFonts w:ascii="宋体" w:hAnsi="Courier New" w:cs="宋体"/>
      <w:sz w:val="21"/>
      <w:szCs w:val="21"/>
    </w:rPr>
  </w:style>
  <w:style w:type="character" w:customStyle="1" w:styleId="61">
    <w:name w:val="标题 4 Char"/>
    <w:link w:val="6"/>
    <w:qFormat/>
    <w:uiPriority w:val="0"/>
    <w:rPr>
      <w:rFonts w:ascii="Arial" w:hAnsi="Arial" w:eastAsia="黑体"/>
      <w:b/>
      <w:bCs/>
      <w:kern w:val="2"/>
      <w:sz w:val="28"/>
      <w:szCs w:val="28"/>
    </w:rPr>
  </w:style>
  <w:style w:type="character" w:customStyle="1" w:styleId="62">
    <w:name w:val="正文文本 Char1"/>
    <w:semiHidden/>
    <w:qFormat/>
    <w:uiPriority w:val="99"/>
    <w:rPr>
      <w:kern w:val="2"/>
      <w:sz w:val="21"/>
      <w:szCs w:val="21"/>
    </w:rPr>
  </w:style>
  <w:style w:type="character" w:customStyle="1" w:styleId="63">
    <w:name w:val="正文文本缩进 Char1"/>
    <w:semiHidden/>
    <w:qFormat/>
    <w:uiPriority w:val="99"/>
    <w:rPr>
      <w:kern w:val="2"/>
      <w:sz w:val="21"/>
      <w:szCs w:val="21"/>
    </w:rPr>
  </w:style>
  <w:style w:type="character" w:customStyle="1" w:styleId="64">
    <w:name w:val="正文文本 Char"/>
    <w:link w:val="16"/>
    <w:qFormat/>
    <w:uiPriority w:val="0"/>
    <w:rPr>
      <w:color w:val="000000"/>
      <w:sz w:val="24"/>
      <w:szCs w:val="24"/>
    </w:rPr>
  </w:style>
  <w:style w:type="character" w:customStyle="1" w:styleId="65">
    <w:name w:val="日期 Char"/>
    <w:link w:val="19"/>
    <w:qFormat/>
    <w:locked/>
    <w:uiPriority w:val="0"/>
    <w:rPr>
      <w:kern w:val="2"/>
      <w:sz w:val="24"/>
      <w:szCs w:val="24"/>
    </w:rPr>
  </w:style>
  <w:style w:type="character" w:customStyle="1" w:styleId="66">
    <w:name w:val="批注主题 Char"/>
    <w:link w:val="27"/>
    <w:qFormat/>
    <w:uiPriority w:val="0"/>
    <w:rPr>
      <w:rFonts w:ascii="Calibri" w:hAnsi="Calibri"/>
      <w:b/>
      <w:bCs/>
    </w:rPr>
  </w:style>
  <w:style w:type="character" w:customStyle="1" w:styleId="67">
    <w:name w:val="正文文本缩进 Char"/>
    <w:link w:val="2"/>
    <w:qFormat/>
    <w:uiPriority w:val="0"/>
    <w:rPr>
      <w:rFonts w:eastAsia="仿宋_GB2312"/>
      <w:sz w:val="32"/>
      <w:szCs w:val="24"/>
    </w:rPr>
  </w:style>
  <w:style w:type="character" w:customStyle="1" w:styleId="68">
    <w:name w:val="纯文本 Char"/>
    <w:link w:val="18"/>
    <w:qFormat/>
    <w:locked/>
    <w:uiPriority w:val="0"/>
    <w:rPr>
      <w:rFonts w:ascii="宋体" w:hAnsi="Courier New" w:cs="宋体"/>
      <w:kern w:val="2"/>
      <w:sz w:val="21"/>
      <w:szCs w:val="21"/>
    </w:rPr>
  </w:style>
  <w:style w:type="character" w:customStyle="1" w:styleId="69">
    <w:name w:val="font21"/>
    <w:basedOn w:val="30"/>
    <w:qFormat/>
    <w:uiPriority w:val="0"/>
    <w:rPr>
      <w:rFonts w:hint="eastAsia" w:ascii="宋体" w:hAnsi="宋体" w:eastAsia="宋体" w:cs="宋体"/>
      <w:color w:val="000000"/>
      <w:sz w:val="20"/>
      <w:szCs w:val="20"/>
      <w:u w:val="none"/>
    </w:rPr>
  </w:style>
  <w:style w:type="character" w:customStyle="1" w:styleId="70">
    <w:name w:val="页脚 Char"/>
    <w:link w:val="22"/>
    <w:qFormat/>
    <w:locked/>
    <w:uiPriority w:val="0"/>
    <w:rPr>
      <w:kern w:val="2"/>
      <w:sz w:val="18"/>
      <w:szCs w:val="18"/>
    </w:rPr>
  </w:style>
  <w:style w:type="character" w:customStyle="1" w:styleId="71">
    <w:name w:val="页眉 Char"/>
    <w:link w:val="23"/>
    <w:qFormat/>
    <w:locked/>
    <w:uiPriority w:val="0"/>
    <w:rPr>
      <w:kern w:val="2"/>
      <w:sz w:val="18"/>
      <w:szCs w:val="18"/>
    </w:rPr>
  </w:style>
  <w:style w:type="character" w:customStyle="1" w:styleId="72">
    <w:name w:val="批注文字 Char"/>
    <w:link w:val="15"/>
    <w:qFormat/>
    <w:uiPriority w:val="0"/>
    <w:rPr>
      <w:rFonts w:ascii="Calibri" w:hAnsi="Calibri"/>
    </w:rPr>
  </w:style>
  <w:style w:type="character" w:customStyle="1" w:styleId="73">
    <w:name w:val="批注主题 Char1"/>
    <w:semiHidden/>
    <w:qFormat/>
    <w:uiPriority w:val="99"/>
    <w:rPr>
      <w:b/>
      <w:bCs/>
      <w:kern w:val="2"/>
      <w:sz w:val="21"/>
      <w:szCs w:val="21"/>
    </w:rPr>
  </w:style>
  <w:style w:type="character" w:customStyle="1" w:styleId="74">
    <w:name w:val="正文文本缩进 2 Char1"/>
    <w:semiHidden/>
    <w:qFormat/>
    <w:uiPriority w:val="99"/>
    <w:rPr>
      <w:kern w:val="2"/>
      <w:sz w:val="21"/>
      <w:szCs w:val="21"/>
    </w:rPr>
  </w:style>
  <w:style w:type="character" w:customStyle="1" w:styleId="75">
    <w:name w:val="标题 7 Char"/>
    <w:link w:val="9"/>
    <w:qFormat/>
    <w:uiPriority w:val="0"/>
    <w:rPr>
      <w:b/>
      <w:bCs/>
      <w:kern w:val="2"/>
      <w:sz w:val="24"/>
      <w:szCs w:val="24"/>
    </w:rPr>
  </w:style>
  <w:style w:type="character" w:customStyle="1" w:styleId="76">
    <w:name w:val="标题 3 Char"/>
    <w:link w:val="5"/>
    <w:qFormat/>
    <w:uiPriority w:val="0"/>
    <w:rPr>
      <w:rFonts w:ascii="Calibri" w:hAnsi="Calibri"/>
      <w:b/>
      <w:bCs/>
      <w:kern w:val="2"/>
      <w:sz w:val="32"/>
      <w:szCs w:val="32"/>
    </w:rPr>
  </w:style>
  <w:style w:type="paragraph" w:customStyle="1" w:styleId="77">
    <w:name w:val="正文缩进1"/>
    <w:basedOn w:val="1"/>
    <w:qFormat/>
    <w:uiPriority w:val="99"/>
    <w:pPr>
      <w:ind w:firstLine="420" w:firstLineChars="200"/>
    </w:pPr>
  </w:style>
  <w:style w:type="paragraph" w:customStyle="1" w:styleId="78">
    <w:name w:val="正文 New New New New New New New New New New New New New New New New New New New"/>
    <w:qFormat/>
    <w:uiPriority w:val="0"/>
    <w:pPr>
      <w:widowControl w:val="0"/>
      <w:spacing w:before="0" w:beforeLines="0" w:after="0" w:afterLines="0" w:line="346" w:lineRule="auto"/>
      <w:ind w:left="1" w:right="0" w:firstLine="419" w:firstLineChars="0"/>
      <w:jc w:val="both"/>
      <w:textAlignment w:val="bottom"/>
    </w:pPr>
    <w:rPr>
      <w:rFonts w:ascii="Times New Roman" w:hAnsi="Times New Roman" w:eastAsia="仿宋_GB2312" w:cs="Times New Roman"/>
      <w:sz w:val="32"/>
    </w:rPr>
  </w:style>
  <w:style w:type="paragraph" w:customStyle="1" w:styleId="7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8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23</Pages>
  <Words>1711</Words>
  <Characters>9756</Characters>
  <Lines>81</Lines>
  <Paragraphs>22</Paragraphs>
  <TotalTime>5</TotalTime>
  <ScaleCrop>false</ScaleCrop>
  <LinksUpToDate>false</LinksUpToDate>
  <CharactersWithSpaces>11445</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2018-01-02T03:08:00Z</dcterms:created>
  <dc:creator>微软用户</dc:creator>
  <cp:lastModifiedBy>終結者-核彈</cp:lastModifiedBy>
  <cp:lastPrinted>2016-06-13T02:54:00Z</cp:lastPrinted>
  <dcterms:modified xsi:type="dcterms:W3CDTF">2023-10-07T14:03:07Z</dcterms:modified>
  <dc:title>（）月供电可靠性分析报告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756F2F8586864BFEA6906C81C441E9FB</vt:lpwstr>
  </property>
</Properties>
</file>