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sz w:val="36"/>
          <w:szCs w:val="36"/>
        </w:rPr>
      </w:pPr>
      <w:bookmarkStart w:id="32" w:name="_GoBack"/>
      <w:bookmarkEnd w:id="32"/>
    </w:p>
    <w:p>
      <w:pPr>
        <w:bidi w:val="0"/>
        <w:rPr>
          <w:rFonts w:hint="eastAsia"/>
          <w:sz w:val="36"/>
          <w:szCs w:val="36"/>
        </w:rPr>
      </w:pPr>
    </w:p>
    <w:p>
      <w:pPr>
        <w:bidi w:val="0"/>
        <w:rPr>
          <w:rFonts w:hint="eastAsia"/>
          <w:sz w:val="36"/>
          <w:szCs w:val="36"/>
        </w:rPr>
      </w:pPr>
    </w:p>
    <w:p>
      <w:pPr>
        <w:bidi w:val="0"/>
        <w:jc w:val="center"/>
        <w:rPr>
          <w:rFonts w:hint="eastAsia" w:ascii="宋体" w:hAnsi="宋体"/>
          <w:b/>
          <w:color w:val="000000"/>
          <w:sz w:val="44"/>
          <w:szCs w:val="44"/>
          <w:lang w:val="en-US" w:eastAsia="zh-CN"/>
        </w:rPr>
      </w:pPr>
      <w:r>
        <w:rPr>
          <w:rFonts w:hint="eastAsia" w:ascii="宋体" w:hAnsi="宋体" w:cs="仿宋"/>
          <w:b/>
          <w:bCs/>
          <w:sz w:val="44"/>
          <w:szCs w:val="44"/>
          <w:lang w:val="en-US" w:eastAsia="zh-CN"/>
        </w:rPr>
        <w:t>2023年三季度</w:t>
      </w:r>
      <w:r>
        <w:rPr>
          <w:rFonts w:hint="eastAsia" w:ascii="宋体" w:hAnsi="宋体"/>
          <w:b/>
          <w:color w:val="000000"/>
          <w:sz w:val="44"/>
          <w:szCs w:val="44"/>
        </w:rPr>
        <w:t>供电可靠性</w:t>
      </w:r>
      <w:r>
        <w:rPr>
          <w:rFonts w:hint="eastAsia" w:ascii="宋体" w:hAnsi="宋体"/>
          <w:b/>
          <w:color w:val="000000"/>
          <w:sz w:val="44"/>
          <w:szCs w:val="44"/>
          <w:lang w:val="en-US" w:eastAsia="zh-CN"/>
        </w:rPr>
        <w:t>分析报告</w:t>
      </w:r>
    </w:p>
    <w:p>
      <w:pPr>
        <w:pStyle w:val="12"/>
        <w:rPr>
          <w:rFonts w:hint="eastAsia" w:ascii="宋体" w:hAnsi="宋体"/>
          <w:b/>
          <w:color w:val="000000"/>
          <w:sz w:val="36"/>
          <w:szCs w:val="36"/>
          <w:lang w:val="en-US" w:eastAsia="zh-CN"/>
        </w:rPr>
      </w:pPr>
    </w:p>
    <w:p>
      <w:pPr>
        <w:rPr>
          <w:rFonts w:hint="eastAsia" w:ascii="宋体" w:hAnsi="宋体"/>
          <w:b/>
          <w:color w:val="000000"/>
          <w:sz w:val="36"/>
          <w:szCs w:val="36"/>
          <w:lang w:val="en-US" w:eastAsia="zh-CN"/>
        </w:rPr>
      </w:pPr>
    </w:p>
    <w:p>
      <w:pPr>
        <w:pStyle w:val="12"/>
        <w:rPr>
          <w:rFonts w:hint="eastAsia" w:ascii="宋体" w:hAnsi="宋体"/>
          <w:b/>
          <w:color w:val="000000"/>
          <w:sz w:val="36"/>
          <w:szCs w:val="36"/>
          <w:lang w:val="en-US" w:eastAsia="zh-CN"/>
        </w:rPr>
      </w:pPr>
    </w:p>
    <w:p>
      <w:pPr>
        <w:rPr>
          <w:rFonts w:hint="default"/>
          <w:lang w:val="en-US"/>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olor w:val="000000"/>
          <w:sz w:val="32"/>
          <w:szCs w:val="32"/>
          <w:lang w:val="en-US" w:eastAsia="zh-CN"/>
        </w:rPr>
      </w:pPr>
      <w:r>
        <w:rPr>
          <w:rFonts w:hint="eastAsia" w:ascii="宋体" w:hAnsi="宋体"/>
          <w:color w:val="000000"/>
          <w:sz w:val="32"/>
          <w:szCs w:val="32"/>
        </w:rPr>
        <w:t>统计期限：</w:t>
      </w:r>
      <w:r>
        <w:rPr>
          <w:rFonts w:hint="eastAsia" w:ascii="宋体" w:hAnsi="宋体"/>
          <w:color w:val="000000"/>
          <w:sz w:val="32"/>
          <w:szCs w:val="32"/>
          <w:lang w:eastAsia="zh-CN"/>
        </w:rPr>
        <w:t>2023年</w:t>
      </w:r>
      <w:r>
        <w:rPr>
          <w:rFonts w:hint="eastAsia" w:ascii="宋体" w:hAnsi="宋体"/>
          <w:color w:val="000000"/>
          <w:sz w:val="32"/>
          <w:szCs w:val="32"/>
          <w:lang w:val="en-US" w:eastAsia="zh-CN"/>
        </w:rPr>
        <w:t>三</w:t>
      </w:r>
      <w:r>
        <w:rPr>
          <w:rFonts w:hint="eastAsia" w:ascii="宋体" w:hAnsi="宋体"/>
          <w:color w:val="000000"/>
          <w:sz w:val="32"/>
          <w:szCs w:val="32"/>
          <w:lang w:eastAsia="zh-CN"/>
        </w:rPr>
        <w:t>季</w:t>
      </w:r>
      <w:r>
        <w:rPr>
          <w:rFonts w:hint="eastAsia" w:ascii="宋体" w:hAnsi="宋体"/>
          <w:color w:val="000000"/>
          <w:sz w:val="32"/>
          <w:szCs w:val="32"/>
          <w:lang w:val="en-US" w:eastAsia="zh-CN"/>
        </w:rPr>
        <w:t>度</w:t>
      </w:r>
    </w:p>
    <w:p>
      <w:pPr>
        <w:spacing w:line="360" w:lineRule="auto"/>
        <w:jc w:val="left"/>
        <w:rPr>
          <w:rFonts w:hint="default" w:ascii="宋体" w:hAnsi="宋体"/>
          <w:color w:val="000000"/>
          <w:sz w:val="24"/>
          <w:szCs w:val="24"/>
          <w:lang w:val="en-US" w:eastAsia="zh-CN"/>
        </w:rPr>
      </w:pPr>
      <w:r>
        <w:rPr>
          <w:rFonts w:hint="eastAsia" w:ascii="宋体" w:hAnsi="宋体"/>
          <w:color w:val="000000"/>
          <w:sz w:val="32"/>
          <w:szCs w:val="32"/>
        </w:rPr>
        <w:t>地区特征：市中心+市区+城镇</w:t>
      </w:r>
      <w:r>
        <w:rPr>
          <w:rFonts w:hint="eastAsia" w:ascii="宋体" w:hAnsi="宋体"/>
          <w:color w:val="000000"/>
          <w:sz w:val="32"/>
          <w:szCs w:val="32"/>
          <w:lang w:val="en-US" w:eastAsia="zh-CN"/>
        </w:rPr>
        <w:t>+农村</w:t>
      </w:r>
    </w:p>
    <w:p>
      <w:pPr>
        <w:spacing w:line="360" w:lineRule="auto"/>
        <w:jc w:val="left"/>
        <w:rPr>
          <w:rFonts w:hint="eastAsia" w:ascii="宋体" w:hAnsi="宋体"/>
          <w:color w:val="000000"/>
          <w:sz w:val="32"/>
          <w:szCs w:val="32"/>
        </w:rPr>
      </w:pPr>
      <w:r>
        <w:rPr>
          <w:rFonts w:hint="eastAsia" w:ascii="宋体" w:hAnsi="宋体"/>
          <w:color w:val="000000"/>
          <w:sz w:val="32"/>
          <w:szCs w:val="32"/>
        </w:rPr>
        <w:t>线路性质：公用+专用</w:t>
      </w:r>
    </w:p>
    <w:p>
      <w:pPr>
        <w:spacing w:line="360" w:lineRule="auto"/>
        <w:jc w:val="left"/>
        <w:rPr>
          <w:rFonts w:hint="eastAsia" w:ascii="宋体" w:hAnsi="宋体"/>
          <w:color w:val="000000"/>
          <w:sz w:val="32"/>
          <w:szCs w:val="32"/>
          <w:lang w:val="en-US" w:eastAsia="zh-CN"/>
        </w:rPr>
      </w:pPr>
      <w:r>
        <w:rPr>
          <w:rFonts w:hint="eastAsia" w:ascii="宋体" w:hAnsi="宋体"/>
          <w:color w:val="000000"/>
          <w:sz w:val="32"/>
          <w:szCs w:val="32"/>
        </w:rPr>
        <w:t>电压等级：6+10+20</w:t>
      </w:r>
      <w:r>
        <w:rPr>
          <w:rFonts w:hint="eastAsia" w:ascii="宋体" w:hAnsi="宋体"/>
          <w:color w:val="000000"/>
          <w:sz w:val="32"/>
          <w:szCs w:val="32"/>
          <w:lang w:val="en-US" w:eastAsia="zh-CN"/>
        </w:rPr>
        <w:t>kV</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000000"/>
          <w:sz w:val="32"/>
          <w:szCs w:val="32"/>
        </w:rPr>
      </w:pPr>
      <w:r>
        <w:rPr>
          <w:rFonts w:hint="eastAsia" w:ascii="宋体" w:hAnsi="宋体"/>
          <w:color w:val="000000"/>
          <w:sz w:val="32"/>
          <w:szCs w:val="32"/>
        </w:rPr>
        <w:t>报 告 日 期：</w:t>
      </w:r>
      <w:r>
        <w:rPr>
          <w:rFonts w:hint="eastAsia" w:ascii="宋体" w:hAnsi="宋体"/>
          <w:color w:val="000000"/>
          <w:sz w:val="32"/>
          <w:szCs w:val="32"/>
          <w:lang w:eastAsia="zh-CN"/>
        </w:rPr>
        <w:t>202</w:t>
      </w:r>
      <w:r>
        <w:rPr>
          <w:rFonts w:hint="eastAsia" w:ascii="宋体" w:hAnsi="宋体"/>
          <w:color w:val="000000"/>
          <w:sz w:val="32"/>
          <w:szCs w:val="32"/>
          <w:lang w:val="en-US" w:eastAsia="zh-CN"/>
        </w:rPr>
        <w:t>3</w:t>
      </w:r>
      <w:r>
        <w:rPr>
          <w:rFonts w:hint="eastAsia" w:ascii="宋体" w:hAnsi="宋体"/>
          <w:color w:val="000000"/>
          <w:sz w:val="32"/>
          <w:szCs w:val="32"/>
          <w:lang w:eastAsia="zh-CN"/>
        </w:rPr>
        <w:t>年</w:t>
      </w:r>
      <w:r>
        <w:rPr>
          <w:rFonts w:hint="eastAsia" w:ascii="宋体" w:hAnsi="宋体"/>
          <w:color w:val="000000"/>
          <w:sz w:val="32"/>
          <w:szCs w:val="32"/>
          <w:lang w:val="en-US" w:eastAsia="zh-CN"/>
        </w:rPr>
        <w:t>10</w:t>
      </w:r>
      <w:r>
        <w:rPr>
          <w:rFonts w:hint="eastAsia" w:ascii="宋体" w:hAnsi="宋体"/>
          <w:color w:val="000000"/>
          <w:sz w:val="32"/>
          <w:szCs w:val="32"/>
        </w:rPr>
        <w:t>月</w:t>
      </w:r>
      <w:r>
        <w:rPr>
          <w:rFonts w:hint="eastAsia" w:ascii="宋体" w:hAnsi="宋体"/>
          <w:color w:val="000000"/>
          <w:sz w:val="32"/>
          <w:szCs w:val="32"/>
          <w:lang w:val="en-US" w:eastAsia="zh-CN"/>
        </w:rPr>
        <w:t>7</w:t>
      </w:r>
      <w:r>
        <w:rPr>
          <w:rFonts w:hint="eastAsia" w:ascii="宋体" w:hAnsi="宋体"/>
          <w:color w:val="000000"/>
          <w:sz w:val="32"/>
          <w:szCs w:val="32"/>
        </w:rPr>
        <w:t>日</w:t>
      </w:r>
    </w:p>
    <w:p>
      <w:pPr>
        <w:rPr>
          <w:rFonts w:hint="eastAsia" w:ascii="宋体" w:hAnsi="宋体" w:eastAsia="宋体"/>
          <w:color w:val="000000"/>
          <w:sz w:val="32"/>
          <w:szCs w:val="32"/>
          <w:lang w:val="en-US" w:eastAsia="zh-CN"/>
        </w:rPr>
      </w:pPr>
    </w:p>
    <w:p>
      <w:pPr>
        <w:rPr>
          <w:rFonts w:hint="eastAsia" w:ascii="宋体" w:hAnsi="宋体" w:cs="Times New Roman"/>
          <w:color w:val="000000"/>
          <w:sz w:val="32"/>
          <w:szCs w:val="32"/>
          <w:lang w:val="en-US" w:eastAsia="zh-CN"/>
        </w:rPr>
      </w:pPr>
      <w:r>
        <w:rPr>
          <w:rFonts w:hint="eastAsia" w:ascii="宋体" w:hAnsi="宋体" w:cs="Times New Roman"/>
          <w:color w:val="000000"/>
          <w:sz w:val="32"/>
          <w:szCs w:val="32"/>
          <w:lang w:val="en-US" w:eastAsia="zh-CN"/>
        </w:rPr>
        <w:br w:type="page"/>
      </w:r>
    </w:p>
    <w:p>
      <w:pPr>
        <w:pStyle w:val="12"/>
        <w:rPr>
          <w:rFonts w:hint="eastAsia"/>
          <w:lang w:val="en-US" w:eastAsia="zh-CN"/>
        </w:rPr>
      </w:pPr>
    </w:p>
    <w:p>
      <w:pPr>
        <w:pStyle w:val="12"/>
        <w:rPr>
          <w:rFonts w:hint="eastAsia"/>
          <w:highlight w:val="none"/>
        </w:rPr>
      </w:pPr>
    </w:p>
    <w:p>
      <w:pPr>
        <w:spacing w:line="360" w:lineRule="auto"/>
        <w:jc w:val="center"/>
        <w:rPr>
          <w:rFonts w:hint="eastAsia" w:ascii="宋体" w:hAnsi="宋体" w:cs="仿宋"/>
          <w:b/>
          <w:bCs/>
          <w:sz w:val="36"/>
          <w:szCs w:val="36"/>
          <w:highlight w:val="none"/>
        </w:rPr>
      </w:pPr>
      <w:r>
        <w:rPr>
          <w:rFonts w:hint="eastAsia" w:ascii="宋体" w:hAnsi="宋体" w:cs="仿宋"/>
          <w:b/>
          <w:bCs/>
          <w:sz w:val="36"/>
          <w:szCs w:val="36"/>
          <w:highlight w:val="none"/>
        </w:rPr>
        <w:t>目</w:t>
      </w:r>
      <w:r>
        <w:rPr>
          <w:rFonts w:hint="eastAsia" w:ascii="宋体" w:hAnsi="宋体" w:cs="仿宋"/>
          <w:b/>
          <w:bCs/>
          <w:sz w:val="36"/>
          <w:szCs w:val="36"/>
          <w:highlight w:val="none"/>
          <w:lang w:val="en-US" w:eastAsia="zh-CN"/>
        </w:rPr>
        <w:t xml:space="preserve">           </w:t>
      </w:r>
      <w:r>
        <w:rPr>
          <w:rFonts w:hint="eastAsia" w:ascii="宋体" w:hAnsi="宋体" w:cs="仿宋"/>
          <w:b/>
          <w:bCs/>
          <w:sz w:val="36"/>
          <w:szCs w:val="36"/>
          <w:highlight w:val="none"/>
        </w:rPr>
        <w:t>录</w:t>
      </w:r>
    </w:p>
    <w:p>
      <w:pPr>
        <w:pStyle w:val="12"/>
        <w:rPr>
          <w:rFonts w:hint="eastAsia"/>
          <w:highlight w:val="none"/>
        </w:rPr>
      </w:pPr>
    </w:p>
    <w:p>
      <w:pPr>
        <w:pStyle w:val="25"/>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TOC \o "1-2" \h \u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_Toc21102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sz w:val="28"/>
          <w:szCs w:val="28"/>
          <w:lang w:val="en-US" w:eastAsia="zh-CN" w:bidi="ar-SA"/>
        </w:rPr>
        <w:t xml:space="preserve">1  </w:t>
      </w:r>
      <w:r>
        <w:rPr>
          <w:rFonts w:hint="eastAsia" w:asciiTheme="minorEastAsia" w:hAnsiTheme="minorEastAsia" w:eastAsiaTheme="minorEastAsia" w:cstheme="minorEastAsia"/>
          <w:bCs/>
          <w:sz w:val="28"/>
          <w:szCs w:val="28"/>
          <w:highlight w:val="none"/>
          <w:lang w:val="en-US" w:eastAsia="zh-CN" w:bidi="ar-SA"/>
        </w:rPr>
        <w:t>指标整体情况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_Toc21102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25"/>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_Toc2824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sz w:val="28"/>
          <w:szCs w:val="28"/>
          <w:lang w:val="en-US" w:eastAsia="zh-CN" w:bidi="ar-SA"/>
        </w:rPr>
        <w:t xml:space="preserve">2  </w:t>
      </w:r>
      <w:r>
        <w:rPr>
          <w:rFonts w:hint="eastAsia" w:asciiTheme="minorEastAsia" w:hAnsiTheme="minorEastAsia" w:eastAsiaTheme="minorEastAsia" w:cstheme="minorEastAsia"/>
          <w:bCs/>
          <w:sz w:val="28"/>
          <w:szCs w:val="28"/>
          <w:highlight w:val="none"/>
          <w:lang w:val="en-US" w:eastAsia="zh-CN" w:bidi="ar-SA"/>
        </w:rPr>
        <w:t>供电可靠性基础数据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_Toc2824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25"/>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_Toc12023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kern w:val="2"/>
          <w:sz w:val="28"/>
          <w:szCs w:val="28"/>
          <w:lang w:val="en-US" w:eastAsia="zh-CN" w:bidi="ar-SA"/>
        </w:rPr>
        <w:t xml:space="preserve">3  </w:t>
      </w:r>
      <w:r>
        <w:rPr>
          <w:rFonts w:hint="eastAsia" w:asciiTheme="minorEastAsia" w:hAnsiTheme="minorEastAsia" w:eastAsiaTheme="minorEastAsia" w:cstheme="minorEastAsia"/>
          <w:bCs/>
          <w:sz w:val="28"/>
          <w:szCs w:val="28"/>
          <w:lang w:val="en-US" w:eastAsia="zh-CN" w:bidi="ar-SA"/>
        </w:rPr>
        <w:t>停电责任原因分析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_Toc12023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26"/>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_Toc25635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kern w:val="2"/>
          <w:sz w:val="28"/>
          <w:szCs w:val="28"/>
          <w:lang w:val="en-US" w:eastAsia="zh-CN" w:bidi="ar-SA"/>
        </w:rPr>
        <w:t>3.1  责任原因指标情况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_Toc25635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26"/>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_Toc803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kern w:val="2"/>
          <w:sz w:val="28"/>
          <w:szCs w:val="28"/>
          <w:lang w:val="en-US" w:eastAsia="zh-CN" w:bidi="ar-SA"/>
        </w:rPr>
        <w:t>3.2  预安排停电责任原因分析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_Toc803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26"/>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_Toc17992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kern w:val="2"/>
          <w:sz w:val="28"/>
          <w:szCs w:val="28"/>
          <w:lang w:val="en-US" w:eastAsia="zh-CN" w:bidi="ar-SA"/>
        </w:rPr>
        <w:t>3.3  故障停电责任原因分析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_Toc17992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25"/>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_Toc18774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sz w:val="28"/>
          <w:szCs w:val="28"/>
          <w:lang w:val="en-US" w:eastAsia="zh-CN" w:bidi="ar-SA"/>
        </w:rPr>
        <w:t xml:space="preserve">4  </w:t>
      </w:r>
      <w:r>
        <w:rPr>
          <w:rFonts w:hint="eastAsia" w:asciiTheme="minorEastAsia" w:hAnsiTheme="minorEastAsia" w:eastAsiaTheme="minorEastAsia" w:cstheme="minorEastAsia"/>
          <w:bCs/>
          <w:sz w:val="28"/>
          <w:szCs w:val="28"/>
          <w:highlight w:val="none"/>
          <w:lang w:val="en-US" w:eastAsia="zh-CN" w:bidi="ar-SA"/>
        </w:rPr>
        <w:t>不停电作业分析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_Toc18774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25"/>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_Toc5096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sz w:val="28"/>
          <w:szCs w:val="28"/>
          <w:lang w:val="en-US" w:eastAsia="zh-CN" w:bidi="ar-SA"/>
        </w:rPr>
        <w:t xml:space="preserve">5  </w:t>
      </w:r>
      <w:r>
        <w:rPr>
          <w:rFonts w:hint="eastAsia" w:asciiTheme="minorEastAsia" w:hAnsiTheme="minorEastAsia" w:eastAsiaTheme="minorEastAsia" w:cstheme="minorEastAsia"/>
          <w:bCs/>
          <w:sz w:val="28"/>
          <w:szCs w:val="28"/>
          <w:highlight w:val="none"/>
          <w:lang w:val="en-US" w:eastAsia="zh-CN" w:bidi="ar-SA"/>
        </w:rPr>
        <w:t>结论</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_Toc5096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spacing w:line="360" w:lineRule="auto"/>
        <w:rPr>
          <w:rFonts w:hint="eastAsia" w:ascii="宋体" w:hAnsi="宋体" w:eastAsia="宋体" w:cs="宋体"/>
          <w:kern w:val="2"/>
          <w:szCs w:val="24"/>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12"/>
        <w:rPr>
          <w:rFonts w:hint="eastAsia" w:ascii="宋体" w:hAnsi="宋体" w:eastAsia="宋体" w:cs="宋体"/>
          <w:kern w:val="2"/>
          <w:szCs w:val="24"/>
          <w:highlight w:val="none"/>
          <w:lang w:val="en-US" w:eastAsia="zh-CN" w:bidi="ar-SA"/>
        </w:rPr>
      </w:pPr>
    </w:p>
    <w:p>
      <w:pPr>
        <w:rPr>
          <w:highlight w:val="none"/>
        </w:rPr>
        <w:sectPr>
          <w:headerReference r:id="rId3" w:type="default"/>
          <w:footerReference r:id="rId4" w:type="default"/>
          <w:pgSz w:w="11906" w:h="16838"/>
          <w:pgMar w:top="1814" w:right="1417" w:bottom="1559" w:left="1417" w:header="850" w:footer="992" w:gutter="0"/>
          <w:pgNumType w:fmt="decimal"/>
          <w:cols w:space="720" w:num="1"/>
          <w:docGrid w:type="lines" w:linePitch="312" w:charSpace="0"/>
        </w:sectPr>
      </w:pPr>
    </w:p>
    <w:p>
      <w:pPr>
        <w:spacing w:line="360" w:lineRule="auto"/>
        <w:jc w:val="center"/>
        <w:rPr>
          <w:rFonts w:hint="eastAsia" w:ascii="宋体" w:hAnsi="宋体" w:eastAsia="宋体" w:cs="Times New Roman"/>
          <w:b/>
          <w:bCs/>
          <w:sz w:val="28"/>
          <w:szCs w:val="28"/>
          <w:highlight w:val="none"/>
          <w:lang w:val="en-US" w:eastAsia="zh-CN" w:bidi="ar-SA"/>
        </w:rPr>
      </w:pPr>
      <w:bookmarkStart w:id="0" w:name="_Toc503299623"/>
    </w:p>
    <w:p>
      <w:pPr>
        <w:spacing w:line="360" w:lineRule="auto"/>
        <w:jc w:val="center"/>
        <w:rPr>
          <w:rFonts w:hint="eastAsia" w:ascii="宋体" w:hAnsi="宋体" w:cs="仿宋"/>
          <w:b/>
          <w:bCs/>
          <w:sz w:val="36"/>
          <w:szCs w:val="36"/>
          <w:highlight w:val="none"/>
          <w:lang w:val="en-US" w:eastAsia="zh-CN"/>
        </w:rPr>
      </w:pPr>
      <w:r>
        <w:rPr>
          <w:rFonts w:hint="eastAsia" w:ascii="宋体" w:hAnsi="宋体" w:cs="Times New Roman"/>
          <w:b/>
          <w:color w:val="000000"/>
          <w:sz w:val="36"/>
          <w:szCs w:val="36"/>
          <w:highlight w:val="none"/>
          <w:lang w:val="en-US" w:eastAsia="zh-CN"/>
        </w:rPr>
        <w:t>2023年包头供电公司</w:t>
      </w:r>
    </w:p>
    <w:p>
      <w:pPr>
        <w:spacing w:line="360" w:lineRule="auto"/>
        <w:jc w:val="center"/>
        <w:rPr>
          <w:rFonts w:hint="eastAsia" w:ascii="宋体" w:hAnsi="宋体" w:cs="仿宋"/>
          <w:b/>
          <w:bCs/>
          <w:sz w:val="36"/>
          <w:szCs w:val="36"/>
          <w:highlight w:val="none"/>
        </w:rPr>
      </w:pPr>
      <w:r>
        <w:rPr>
          <w:rFonts w:hint="eastAsia" w:ascii="宋体" w:hAnsi="宋体" w:cs="仿宋"/>
          <w:b/>
          <w:bCs/>
          <w:sz w:val="36"/>
          <w:szCs w:val="36"/>
          <w:highlight w:val="none"/>
          <w:lang w:val="en-US" w:eastAsia="zh-CN"/>
        </w:rPr>
        <w:t>三季度</w:t>
      </w:r>
      <w:r>
        <w:rPr>
          <w:rFonts w:hint="eastAsia" w:ascii="宋体" w:hAnsi="宋体" w:cs="仿宋"/>
          <w:b/>
          <w:bCs/>
          <w:sz w:val="36"/>
          <w:szCs w:val="36"/>
          <w:highlight w:val="none"/>
        </w:rPr>
        <w:t>供电可靠性分析报告</w:t>
      </w:r>
    </w:p>
    <w:p>
      <w:pPr>
        <w:pStyle w:val="12"/>
        <w:rPr>
          <w:rFonts w:hint="eastAsia"/>
          <w:highlight w:val="none"/>
        </w:rPr>
      </w:pPr>
    </w:p>
    <w:p>
      <w:pPr>
        <w:pStyle w:val="3"/>
        <w:keepNext/>
        <w:keepLines/>
        <w:pageBreakBefore w:val="0"/>
        <w:widowControl w:val="0"/>
        <w:numPr>
          <w:ilvl w:val="0"/>
          <w:numId w:val="4"/>
        </w:numPr>
        <w:kinsoku/>
        <w:wordWrap/>
        <w:overflowPunct/>
        <w:topLinePunct w:val="0"/>
        <w:autoSpaceDE/>
        <w:autoSpaceDN/>
        <w:bidi w:val="0"/>
        <w:adjustRightInd/>
        <w:snapToGrid w:val="0"/>
        <w:spacing w:before="0" w:after="0" w:line="312" w:lineRule="auto"/>
        <w:ind w:left="0" w:leftChars="0" w:firstLine="0" w:firstLineChars="0"/>
        <w:jc w:val="both"/>
        <w:textAlignment w:val="auto"/>
        <w:rPr>
          <w:rFonts w:hint="eastAsia" w:ascii="宋体" w:hAnsi="宋体" w:eastAsia="宋体" w:cs="Times New Roman"/>
          <w:b/>
          <w:bCs/>
          <w:sz w:val="28"/>
          <w:szCs w:val="28"/>
          <w:highlight w:val="none"/>
          <w:lang w:val="en-US" w:eastAsia="zh-CN" w:bidi="ar-SA"/>
        </w:rPr>
      </w:pPr>
      <w:r>
        <w:rPr>
          <w:rFonts w:hint="eastAsia" w:ascii="宋体" w:hAnsi="宋体" w:cs="Times New Roman"/>
          <w:b/>
          <w:bCs/>
          <w:sz w:val="28"/>
          <w:szCs w:val="28"/>
          <w:highlight w:val="none"/>
          <w:lang w:val="en-US" w:eastAsia="zh-CN" w:bidi="ar-SA"/>
        </w:rPr>
        <w:t xml:space="preserve"> </w:t>
      </w:r>
      <w:bookmarkStart w:id="1" w:name="_Toc21102"/>
      <w:bookmarkStart w:id="2" w:name="_Toc28521"/>
      <w:r>
        <w:rPr>
          <w:rFonts w:hint="eastAsia" w:ascii="宋体" w:hAnsi="宋体" w:eastAsia="宋体" w:cs="Times New Roman"/>
          <w:b/>
          <w:bCs/>
          <w:sz w:val="28"/>
          <w:szCs w:val="28"/>
          <w:highlight w:val="none"/>
          <w:lang w:val="en-US" w:eastAsia="zh-CN" w:bidi="ar-SA"/>
        </w:rPr>
        <w:t>指标整体情况</w:t>
      </w:r>
      <w:bookmarkEnd w:id="0"/>
      <w:bookmarkEnd w:id="1"/>
      <w:bookmarkEnd w:id="2"/>
      <w:r>
        <w:rPr>
          <w:rFonts w:hint="eastAsia" w:ascii="宋体" w:hAnsi="宋体" w:eastAsia="宋体" w:cs="Times New Roman"/>
          <w:b/>
          <w:bCs/>
          <w:sz w:val="28"/>
          <w:szCs w:val="28"/>
          <w:highlight w:val="none"/>
          <w:lang w:val="en-US" w:eastAsia="zh-CN" w:bidi="ar-SA"/>
        </w:rPr>
        <w:t xml:space="preserve"> 　</w:t>
      </w:r>
    </w:p>
    <w:p>
      <w:pPr>
        <w:spacing w:line="312" w:lineRule="auto"/>
        <w:ind w:firstLine="470" w:firstLineChars="196"/>
        <w:rPr>
          <w:rFonts w:hint="default" w:ascii="宋体" w:hAnsi="宋体" w:cs="仿宋"/>
          <w:color w:val="auto"/>
          <w:kern w:val="0"/>
          <w:sz w:val="24"/>
          <w:szCs w:val="24"/>
          <w:highlight w:val="none"/>
          <w:lang w:val="en-US" w:eastAsia="zh-CN"/>
        </w:rPr>
      </w:pPr>
      <w:r>
        <w:rPr>
          <w:rFonts w:hint="eastAsia" w:ascii="宋体" w:hAnsi="宋体" w:cs="仿宋"/>
          <w:color w:val="auto"/>
          <w:kern w:val="0"/>
          <w:sz w:val="24"/>
          <w:szCs w:val="24"/>
          <w:highlight w:val="none"/>
          <w:lang w:val="en-US" w:eastAsia="zh-CN"/>
        </w:rPr>
        <w:t>2023年三季度，</w:t>
      </w:r>
      <w:bookmarkStart w:id="3" w:name="BGWJB0504"/>
      <w:r>
        <w:rPr>
          <w:rFonts w:hint="eastAsia" w:ascii="宋体" w:hAnsi="宋体" w:cs="仿宋"/>
          <w:color w:val="auto"/>
          <w:kern w:val="0"/>
          <w:sz w:val="24"/>
          <w:szCs w:val="24"/>
          <w:highlight w:val="none"/>
          <w:lang w:val="en-US" w:eastAsia="zh-CN"/>
        </w:rPr>
        <w:t>包供</w:t>
      </w:r>
      <w:bookmarkEnd w:id="3"/>
      <w:r>
        <w:rPr>
          <w:rFonts w:hint="eastAsia" w:ascii="宋体" w:hAnsi="宋体" w:cs="仿宋"/>
          <w:color w:val="auto"/>
          <w:kern w:val="0"/>
          <w:sz w:val="24"/>
          <w:szCs w:val="24"/>
          <w:highlight w:val="none"/>
          <w:lang w:val="en-US" w:eastAsia="zh-CN"/>
        </w:rPr>
        <w:t>全口径系统平均停电时间完成1.58h/户，同比</w:t>
      </w:r>
      <w:bookmarkStart w:id="4" w:name="BGWJB1008"/>
      <w:r>
        <w:rPr>
          <w:rFonts w:hint="eastAsia" w:ascii="宋体" w:hAnsi="宋体" w:cs="仿宋"/>
          <w:color w:val="auto"/>
          <w:kern w:val="0"/>
          <w:sz w:val="24"/>
          <w:szCs w:val="24"/>
          <w:highlight w:val="none"/>
          <w:lang w:val="en-US" w:eastAsia="zh-CN"/>
        </w:rPr>
        <w:t>减少</w:t>
      </w:r>
      <w:bookmarkEnd w:id="4"/>
      <w:r>
        <w:rPr>
          <w:rFonts w:hint="eastAsia" w:ascii="宋体" w:hAnsi="宋体" w:cs="仿宋"/>
          <w:color w:val="auto"/>
          <w:kern w:val="0"/>
          <w:sz w:val="24"/>
          <w:szCs w:val="24"/>
          <w:highlight w:val="none"/>
          <w:lang w:val="en-US" w:eastAsia="zh-CN"/>
        </w:rPr>
        <w:t>2.52h/户。其中城市系统平均停电时间完成1.03h/户，同比</w:t>
      </w:r>
      <w:bookmarkStart w:id="5" w:name="BGWJB1002"/>
      <w:r>
        <w:rPr>
          <w:rFonts w:hint="eastAsia" w:ascii="宋体" w:hAnsi="宋体" w:cs="仿宋"/>
          <w:color w:val="auto"/>
          <w:kern w:val="0"/>
          <w:sz w:val="24"/>
          <w:szCs w:val="24"/>
          <w:highlight w:val="none"/>
          <w:lang w:val="en-US" w:eastAsia="zh-CN"/>
        </w:rPr>
        <w:t>减少</w:t>
      </w:r>
      <w:bookmarkEnd w:id="5"/>
      <w:r>
        <w:rPr>
          <w:rFonts w:hint="eastAsia" w:ascii="宋体" w:hAnsi="宋体" w:cs="仿宋"/>
          <w:color w:val="auto"/>
          <w:kern w:val="0"/>
          <w:sz w:val="24"/>
          <w:szCs w:val="24"/>
          <w:highlight w:val="none"/>
          <w:lang w:val="en-US" w:eastAsia="zh-CN"/>
        </w:rPr>
        <w:t>1.06h/户。农村用户</w:t>
      </w:r>
      <w:r>
        <w:rPr>
          <w:rFonts w:hint="eastAsia" w:ascii="宋体" w:hAnsi="宋体" w:cs="仿宋"/>
          <w:color w:val="auto"/>
          <w:kern w:val="0"/>
          <w:sz w:val="24"/>
          <w:szCs w:val="24"/>
          <w:highlight w:val="none"/>
          <w:lang w:eastAsia="zh-CN"/>
        </w:rPr>
        <w:t>平均停电时间</w:t>
      </w:r>
      <w:r>
        <w:rPr>
          <w:rFonts w:hint="eastAsia" w:ascii="宋体" w:hAnsi="宋体" w:cs="仿宋"/>
          <w:color w:val="auto"/>
          <w:kern w:val="0"/>
          <w:sz w:val="24"/>
          <w:szCs w:val="24"/>
          <w:highlight w:val="none"/>
          <w:lang w:val="en-US" w:eastAsia="zh-CN"/>
        </w:rPr>
        <w:t>1.9h</w:t>
      </w:r>
      <w:r>
        <w:rPr>
          <w:rFonts w:hint="eastAsia" w:ascii="宋体" w:hAnsi="宋体" w:cs="仿宋"/>
          <w:color w:val="auto"/>
          <w:kern w:val="0"/>
          <w:sz w:val="24"/>
          <w:szCs w:val="24"/>
          <w:highlight w:val="none"/>
          <w:lang w:eastAsia="zh-CN"/>
        </w:rPr>
        <w:t>/户，同比</w:t>
      </w:r>
      <w:r>
        <w:rPr>
          <w:rFonts w:hint="eastAsia" w:ascii="宋体" w:hAnsi="宋体" w:cs="仿宋"/>
          <w:color w:val="auto"/>
          <w:kern w:val="0"/>
          <w:sz w:val="24"/>
          <w:szCs w:val="24"/>
          <w:highlight w:val="none"/>
          <w:lang w:val="en-US" w:eastAsia="zh-CN"/>
        </w:rPr>
        <w:t>降低3.61h</w:t>
      </w:r>
      <w:r>
        <w:rPr>
          <w:rFonts w:hint="eastAsia" w:ascii="宋体" w:hAnsi="宋体" w:cs="仿宋"/>
          <w:color w:val="auto"/>
          <w:kern w:val="0"/>
          <w:sz w:val="24"/>
          <w:szCs w:val="24"/>
          <w:highlight w:val="none"/>
          <w:lang w:eastAsia="zh-CN"/>
        </w:rPr>
        <w:t>/户，</w:t>
      </w:r>
      <w:r>
        <w:rPr>
          <w:rFonts w:hint="eastAsia" w:ascii="宋体" w:hAnsi="宋体" w:cs="仿宋"/>
          <w:color w:val="auto"/>
          <w:kern w:val="0"/>
          <w:sz w:val="24"/>
          <w:szCs w:val="24"/>
          <w:highlight w:val="none"/>
          <w:lang w:val="en-US" w:eastAsia="zh-CN"/>
        </w:rPr>
        <w:t>降低21.3%</w:t>
      </w:r>
      <w:r>
        <w:rPr>
          <w:rFonts w:hint="eastAsia" w:ascii="宋体" w:hAnsi="宋体" w:cs="仿宋"/>
          <w:color w:val="auto"/>
          <w:kern w:val="0"/>
          <w:sz w:val="24"/>
          <w:szCs w:val="24"/>
          <w:highlight w:val="none"/>
          <w:lang w:eastAsia="zh-CN"/>
        </w:rPr>
        <w:t>。</w:t>
      </w:r>
    </w:p>
    <w:p>
      <w:pPr>
        <w:pageBreakBefore w:val="0"/>
        <w:kinsoku/>
        <w:wordWrap/>
        <w:overflowPunct/>
        <w:topLinePunct w:val="0"/>
        <w:bidi w:val="0"/>
        <w:snapToGrid w:val="0"/>
        <w:spacing w:line="312" w:lineRule="auto"/>
        <w:jc w:val="center"/>
        <w:rPr>
          <w:rFonts w:hint="eastAsia" w:ascii="黑体" w:hAnsi="黑体" w:eastAsia="黑体"/>
          <w:sz w:val="24"/>
          <w:szCs w:val="24"/>
          <w:highlight w:val="none"/>
        </w:rPr>
      </w:pPr>
      <w:r>
        <w:rPr>
          <w:rFonts w:hint="eastAsia" w:ascii="黑体" w:hAnsi="黑体" w:eastAsia="黑体"/>
          <w:sz w:val="24"/>
          <w:szCs w:val="24"/>
          <w:highlight w:val="none"/>
        </w:rPr>
        <w:t>表</w:t>
      </w:r>
      <w:r>
        <w:rPr>
          <w:rFonts w:hint="eastAsia" w:ascii="黑体" w:hAnsi="黑体" w:eastAsia="黑体"/>
          <w:sz w:val="24"/>
          <w:szCs w:val="24"/>
          <w:highlight w:val="none"/>
          <w:lang w:val="en-US" w:eastAsia="zh-CN"/>
        </w:rPr>
        <w:t>1</w:t>
      </w:r>
      <w:r>
        <w:rPr>
          <w:rFonts w:hint="eastAsia" w:ascii="黑体" w:hAnsi="黑体" w:eastAsia="黑体"/>
          <w:sz w:val="24"/>
          <w:szCs w:val="24"/>
          <w:highlight w:val="none"/>
        </w:rPr>
        <w:t xml:space="preserve">  中压用户供电可靠性指标汇总</w:t>
      </w:r>
    </w:p>
    <w:p>
      <w:pPr>
        <w:pageBreakBefore w:val="0"/>
        <w:kinsoku/>
        <w:wordWrap/>
        <w:overflowPunct/>
        <w:topLinePunct w:val="0"/>
        <w:bidi w:val="0"/>
        <w:snapToGrid w:val="0"/>
        <w:spacing w:line="360" w:lineRule="auto"/>
        <w:jc w:val="right"/>
        <w:rPr>
          <w:rFonts w:hint="eastAsia"/>
        </w:rPr>
      </w:pPr>
      <w:r>
        <w:rPr>
          <w:rFonts w:hint="eastAsia" w:ascii="宋体" w:hAnsi="宋体" w:eastAsia="宋体" w:cs="宋体"/>
          <w:i w:val="0"/>
          <w:color w:val="000000"/>
          <w:kern w:val="0"/>
          <w:sz w:val="20"/>
          <w:szCs w:val="20"/>
          <w:u w:val="none"/>
          <w:lang w:val="en-US" w:eastAsia="zh-CN" w:bidi="ar"/>
        </w:rPr>
        <w:t>单位：h/户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2"/>
          <w:sz w:val="20"/>
          <w:szCs w:val="20"/>
          <w:highlight w:val="none"/>
          <w:u w:val="none"/>
          <w:lang w:val="en-US" w:eastAsia="zh-CN" w:bidi="ar-SA"/>
        </w:rPr>
        <w:t>次</w:t>
      </w:r>
      <w:r>
        <w:rPr>
          <w:rFonts w:hint="eastAsia" w:ascii="宋体" w:hAnsi="宋体" w:eastAsia="宋体" w:cs="宋体"/>
          <w:i w:val="0"/>
          <w:color w:val="000000"/>
          <w:kern w:val="0"/>
          <w:sz w:val="20"/>
          <w:szCs w:val="20"/>
          <w:highlight w:val="none"/>
          <w:u w:val="none"/>
          <w:lang w:val="en-US" w:eastAsia="zh-CN" w:bidi="ar"/>
        </w:rPr>
        <w:t>/户</w:t>
      </w:r>
    </w:p>
    <w:tbl>
      <w:tblPr>
        <w:tblStyle w:val="29"/>
        <w:tblW w:w="8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5"/>
        <w:gridCol w:w="1335"/>
        <w:gridCol w:w="1440"/>
        <w:gridCol w:w="1440"/>
        <w:gridCol w:w="1440"/>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25"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表1  中压用户供电可靠性指标汇总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9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可靠性指标</w:t>
            </w:r>
          </w:p>
        </w:tc>
        <w:tc>
          <w:tcPr>
            <w:tcW w:w="13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平均停电时间</w:t>
            </w:r>
          </w:p>
        </w:tc>
        <w:tc>
          <w:tcPr>
            <w:tcW w:w="144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同比</w:t>
            </w:r>
          </w:p>
        </w:tc>
        <w:tc>
          <w:tcPr>
            <w:tcW w:w="144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降幅</w:t>
            </w:r>
          </w:p>
        </w:tc>
        <w:tc>
          <w:tcPr>
            <w:tcW w:w="144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平均停电频率</w:t>
            </w:r>
          </w:p>
        </w:tc>
        <w:tc>
          <w:tcPr>
            <w:tcW w:w="133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市中心（1）</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市区（2）</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0.94 </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-0.35 </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0.24 </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1.16 </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 </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-0.59 </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0.27 </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1.90 </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-3.61 </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-0.66 </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0.59 </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城市（1+2+3）</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 </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-1.06 </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-0.51 </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0.25 </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全口径（1+2+3+4）</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1.58 </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-2.52 </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-0.62 </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0.46 </w:t>
            </w:r>
          </w:p>
        </w:tc>
        <w:tc>
          <w:tcPr>
            <w:tcW w:w="13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-0.06 </w:t>
            </w:r>
          </w:p>
        </w:tc>
      </w:tr>
    </w:tbl>
    <w:p>
      <w:pPr>
        <w:pStyle w:val="50"/>
        <w:keepNext w:val="0"/>
        <w:keepLines w:val="0"/>
        <w:pageBreakBefore w:val="0"/>
        <w:widowControl/>
        <w:kinsoku/>
        <w:wordWrap/>
        <w:overflowPunct/>
        <w:topLinePunct w:val="0"/>
        <w:autoSpaceDE/>
        <w:autoSpaceDN/>
        <w:bidi w:val="0"/>
        <w:adjustRightInd w:val="0"/>
        <w:snapToGrid w:val="0"/>
        <w:spacing w:before="157" w:beforeLines="50" w:line="312" w:lineRule="auto"/>
        <w:ind w:left="0" w:leftChars="0" w:firstLine="0" w:firstLineChars="0"/>
        <w:textAlignment w:val="auto"/>
        <w:rPr>
          <w:rFonts w:hint="eastAsia" w:cs="宋体"/>
          <w:szCs w:val="24"/>
          <w:highlight w:val="none"/>
          <w:lang w:eastAsia="zh-CN"/>
        </w:rPr>
      </w:pPr>
      <w:r>
        <w:rPr>
          <w:rFonts w:hint="eastAsia" w:eastAsia="宋体" w:cs="宋体"/>
          <w:color w:val="auto"/>
          <w:sz w:val="21"/>
          <w:szCs w:val="21"/>
          <w:highlight w:val="none"/>
          <w:lang w:val="en-US" w:eastAsia="zh-CN"/>
        </w:rPr>
        <w:t>备注：同比=今年的指标-去年同期指标（后续用到的同比均是）</w:t>
      </w:r>
    </w:p>
    <w:p>
      <w:pPr>
        <w:pStyle w:val="50"/>
        <w:ind w:left="0" w:leftChars="0" w:firstLine="480" w:firstLineChars="200"/>
        <w:jc w:val="both"/>
        <w:rPr>
          <w:rFonts w:hint="eastAsia" w:cs="宋体"/>
          <w:szCs w:val="24"/>
          <w:highlight w:val="none"/>
        </w:rPr>
      </w:pPr>
      <w:r>
        <w:rPr>
          <w:rFonts w:hint="eastAsia" w:cs="宋体"/>
          <w:szCs w:val="24"/>
          <w:highlight w:val="none"/>
          <w:lang w:eastAsia="zh-CN"/>
        </w:rPr>
        <w:t>2023年</w:t>
      </w:r>
      <w:r>
        <w:rPr>
          <w:rFonts w:hint="eastAsia" w:cs="宋体"/>
          <w:szCs w:val="24"/>
          <w:highlight w:val="none"/>
        </w:rPr>
        <w:t>第</w:t>
      </w:r>
      <w:r>
        <w:rPr>
          <w:rFonts w:hint="eastAsia" w:cs="宋体"/>
          <w:szCs w:val="24"/>
          <w:highlight w:val="none"/>
          <w:lang w:val="en-US" w:eastAsia="zh-CN"/>
        </w:rPr>
        <w:t>三</w:t>
      </w:r>
      <w:r>
        <w:rPr>
          <w:rFonts w:hint="eastAsia" w:cs="宋体"/>
          <w:szCs w:val="24"/>
          <w:highlight w:val="none"/>
          <w:lang w:eastAsia="zh-CN"/>
        </w:rPr>
        <w:t>季度</w:t>
      </w:r>
      <w:r>
        <w:rPr>
          <w:rFonts w:hint="eastAsia" w:cs="宋体"/>
          <w:color w:val="auto"/>
          <w:szCs w:val="24"/>
          <w:highlight w:val="none"/>
        </w:rPr>
        <w:t>城市</w:t>
      </w:r>
      <w:r>
        <w:rPr>
          <w:rFonts w:hint="eastAsia" w:cs="宋体"/>
          <w:szCs w:val="24"/>
          <w:highlight w:val="none"/>
        </w:rPr>
        <w:t>用</w:t>
      </w:r>
      <w:r>
        <w:rPr>
          <w:rFonts w:hint="eastAsia" w:cs="宋体"/>
          <w:szCs w:val="24"/>
          <w:highlight w:val="none"/>
          <w:lang w:eastAsia="zh-CN"/>
        </w:rPr>
        <w:t>户供电可靠性指标如表</w:t>
      </w:r>
      <w:r>
        <w:rPr>
          <w:rFonts w:hint="eastAsia" w:cs="宋体"/>
          <w:szCs w:val="24"/>
          <w:highlight w:val="none"/>
          <w:lang w:val="en-US" w:eastAsia="zh-CN"/>
        </w:rPr>
        <w:t>2所示</w:t>
      </w:r>
      <w:r>
        <w:rPr>
          <w:rFonts w:hint="eastAsia" w:cs="宋体"/>
          <w:szCs w:val="24"/>
          <w:highlight w:val="none"/>
        </w:rPr>
        <w:t>。</w:t>
      </w:r>
    </w:p>
    <w:p>
      <w:pPr>
        <w:pageBreakBefore w:val="0"/>
        <w:kinsoku/>
        <w:wordWrap/>
        <w:overflowPunct/>
        <w:topLinePunct w:val="0"/>
        <w:bidi w:val="0"/>
        <w:snapToGrid w:val="0"/>
        <w:spacing w:line="312" w:lineRule="auto"/>
        <w:jc w:val="center"/>
        <w:rPr>
          <w:rFonts w:hint="eastAsia" w:ascii="黑体" w:hAnsi="黑体" w:eastAsia="黑体"/>
          <w:sz w:val="24"/>
          <w:szCs w:val="24"/>
          <w:highlight w:val="none"/>
          <w:lang w:val="en-US" w:eastAsia="zh-CN"/>
        </w:rPr>
      </w:pPr>
      <w:r>
        <w:rPr>
          <w:rFonts w:hint="eastAsia" w:ascii="黑体" w:hAnsi="黑体" w:eastAsia="黑体"/>
          <w:sz w:val="24"/>
          <w:szCs w:val="24"/>
          <w:highlight w:val="none"/>
          <w:lang w:val="en-US" w:eastAsia="zh-CN"/>
        </w:rPr>
        <w:t>表2  城市用户供电可靠性指标</w:t>
      </w:r>
    </w:p>
    <w:p>
      <w:pPr>
        <w:pStyle w:val="50"/>
        <w:ind w:left="0" w:leftChars="0" w:firstLine="0" w:firstLineChars="0"/>
        <w:jc w:val="right"/>
        <w:rPr>
          <w:rFonts w:hint="default" w:ascii="黑体" w:hAnsi="黑体" w:eastAsia="黑体"/>
          <w:sz w:val="24"/>
          <w:szCs w:val="24"/>
          <w:highlight w:val="none"/>
          <w:lang w:val="en-US" w:eastAsia="zh-CN"/>
        </w:rPr>
      </w:pPr>
      <w:r>
        <w:rPr>
          <w:rFonts w:hint="eastAsia" w:ascii="宋体" w:hAnsi="宋体" w:cs="宋体"/>
          <w:i w:val="0"/>
          <w:color w:val="000000"/>
          <w:kern w:val="0"/>
          <w:sz w:val="20"/>
          <w:szCs w:val="20"/>
          <w:highlight w:val="none"/>
          <w:u w:val="none"/>
          <w:lang w:val="en-US" w:eastAsia="zh-CN" w:bidi="ar"/>
        </w:rPr>
        <w:t>单位：户、%、</w:t>
      </w:r>
      <w:r>
        <w:rPr>
          <w:rFonts w:hint="eastAsia" w:ascii="宋体" w:hAnsi="宋体" w:eastAsia="宋体" w:cs="宋体"/>
          <w:i w:val="0"/>
          <w:color w:val="000000"/>
          <w:kern w:val="0"/>
          <w:sz w:val="20"/>
          <w:szCs w:val="20"/>
          <w:highlight w:val="none"/>
          <w:u w:val="none"/>
          <w:lang w:val="en-US" w:eastAsia="zh-CN" w:bidi="ar"/>
        </w:rPr>
        <w:t>h/户</w:t>
      </w:r>
      <w:r>
        <w:rPr>
          <w:rFonts w:hint="eastAsia" w:ascii="宋体" w:hAnsi="宋体" w:cs="宋体"/>
          <w:i w:val="0"/>
          <w:color w:val="000000"/>
          <w:kern w:val="0"/>
          <w:sz w:val="20"/>
          <w:szCs w:val="20"/>
          <w:highlight w:val="none"/>
          <w:u w:val="none"/>
          <w:lang w:val="en-US" w:eastAsia="zh-CN" w:bidi="ar"/>
        </w:rPr>
        <w:t>、次</w:t>
      </w:r>
      <w:r>
        <w:rPr>
          <w:rFonts w:hint="eastAsia" w:cs="宋体"/>
          <w:i w:val="0"/>
          <w:color w:val="000000"/>
          <w:kern w:val="0"/>
          <w:sz w:val="20"/>
          <w:szCs w:val="20"/>
          <w:highlight w:val="none"/>
          <w:u w:val="none"/>
          <w:lang w:val="en-US" w:eastAsia="zh-CN" w:bidi="ar"/>
        </w:rPr>
        <w:t>/户、次</w:t>
      </w:r>
    </w:p>
    <w:tbl>
      <w:tblPr>
        <w:tblStyle w:val="29"/>
        <w:tblW w:w="954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285"/>
        <w:gridCol w:w="936"/>
        <w:gridCol w:w="1122"/>
        <w:gridCol w:w="887"/>
        <w:gridCol w:w="666"/>
        <w:gridCol w:w="887"/>
        <w:gridCol w:w="666"/>
        <w:gridCol w:w="756"/>
        <w:gridCol w:w="742"/>
        <w:gridCol w:w="602"/>
        <w:gridCol w:w="10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3" w:hRule="exact"/>
        </w:trPr>
        <w:tc>
          <w:tcPr>
            <w:tcW w:w="0" w:type="auto"/>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单位</w:t>
            </w: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用户数</w:t>
            </w: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平均供电靠率</w:t>
            </w: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平均停电时间</w:t>
            </w: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同比</w:t>
            </w: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平均停电频率</w:t>
            </w: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同比</w:t>
            </w:r>
          </w:p>
        </w:tc>
        <w:tc>
          <w:tcPr>
            <w:tcW w:w="0" w:type="auto"/>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highlight w:val="none"/>
                <w:u w:val="none"/>
                <w:lang w:val="en-US" w:eastAsia="zh-CN" w:bidi="ar"/>
              </w:rPr>
              <w:t>带电作业</w:t>
            </w:r>
          </w:p>
        </w:tc>
        <w:tc>
          <w:tcPr>
            <w:tcW w:w="1652" w:type="dxa"/>
            <w:gridSpan w:val="2"/>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highlight w:val="none"/>
                <w:u w:val="none"/>
                <w:lang w:val="en-US" w:eastAsia="zh-CN" w:bidi="ar"/>
              </w:rPr>
              <w:t>利用移动装备转带负荷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highlight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次数</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highlight w:val="none"/>
                <w:u w:val="none"/>
                <w:lang w:val="en-US" w:eastAsia="zh-CN" w:bidi="ar"/>
              </w:rPr>
              <w:t>减少的</w:t>
            </w:r>
          </w:p>
        </w:tc>
        <w:tc>
          <w:tcPr>
            <w:tcW w:w="0" w:type="auto"/>
            <w:vMerge w:val="restar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次数</w:t>
            </w:r>
          </w:p>
        </w:tc>
        <w:tc>
          <w:tcPr>
            <w:tcW w:w="976"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减少的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1"/>
                <w:szCs w:val="21"/>
                <w:highlight w:val="none"/>
                <w:lang w:val="en-US"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kern w:val="0"/>
                <w:sz w:val="21"/>
                <w:szCs w:val="21"/>
                <w:highlight w:val="none"/>
                <w:lang w:val="en-US" w:eastAsia="zh-CN" w:bidi="ar"/>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lang w:val="en-US" w:eastAsia="zh-CN" w:bidi="ar"/>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lang w:val="en-US" w:eastAsia="zh-CN" w:bidi="ar"/>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kern w:val="0"/>
                <w:sz w:val="21"/>
                <w:szCs w:val="21"/>
                <w:highlight w:val="none"/>
                <w:lang w:val="en-US" w:eastAsia="zh-CN" w:bidi="ar"/>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lang w:val="en-US" w:eastAsia="zh-CN" w:bidi="ar"/>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lang w:val="en-US" w:eastAsia="zh-CN" w:bidi="ar"/>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kern w:val="0"/>
                <w:sz w:val="21"/>
                <w:szCs w:val="21"/>
                <w:highlight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停电时间</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21"/>
                <w:szCs w:val="21"/>
                <w:highlight w:val="none"/>
                <w:lang w:val="en-US" w:eastAsia="zh-CN" w:bidi="ar"/>
              </w:rPr>
            </w:pPr>
          </w:p>
        </w:tc>
        <w:tc>
          <w:tcPr>
            <w:tcW w:w="9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停电时间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exact"/>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包头供电公司</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10301.84 </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99.9545 </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1.03 </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-1.06 </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0.25 </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-0.11 </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621.00 </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1.10 </w:t>
            </w:r>
          </w:p>
        </w:tc>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8.00 </w:t>
            </w:r>
          </w:p>
        </w:tc>
        <w:tc>
          <w:tcPr>
            <w:tcW w:w="97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0.02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exact"/>
        </w:trPr>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包头供电公司东河供电分公司</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1971.43 </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99.9333 </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1.47 </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-1.14 </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0.35 </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-0.01 </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109.00 </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1.50 </w:t>
            </w:r>
          </w:p>
        </w:tc>
        <w:tc>
          <w:tcPr>
            <w:tcW w:w="0" w:type="auto"/>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2.00 </w:t>
            </w:r>
          </w:p>
        </w:tc>
        <w:tc>
          <w:tcPr>
            <w:tcW w:w="97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0.03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exact"/>
        </w:trPr>
        <w:tc>
          <w:tcPr>
            <w:tcW w:w="0" w:type="auto"/>
            <w:vAlign w:val="bottom"/>
          </w:tcPr>
          <w:p>
            <w:pPr>
              <w:keepNext w:val="0"/>
              <w:keepLines w:val="0"/>
              <w:widowControl/>
              <w:suppressLineNumbers w:val="0"/>
              <w:jc w:val="left"/>
              <w:textAlignment w:val="bottom"/>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包头供电公司青山供电分公司</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2593.47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99.9708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0.68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-2.36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0.18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-0.36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142.00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1.22 </w:t>
            </w:r>
          </w:p>
        </w:tc>
        <w:tc>
          <w:tcPr>
            <w:tcW w:w="0" w:type="auto"/>
            <w:vAlign w:val="bottom"/>
          </w:tcPr>
          <w:p>
            <w:pPr>
              <w:keepNext w:val="0"/>
              <w:keepLines w:val="0"/>
              <w:widowControl/>
              <w:suppressLineNumbers w:val="0"/>
              <w:jc w:val="right"/>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0.00 </w:t>
            </w:r>
          </w:p>
        </w:tc>
        <w:tc>
          <w:tcPr>
            <w:tcW w:w="976" w:type="dxa"/>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exact"/>
        </w:trPr>
        <w:tc>
          <w:tcPr>
            <w:tcW w:w="0" w:type="auto"/>
            <w:vAlign w:val="bottom"/>
          </w:tcPr>
          <w:p>
            <w:pPr>
              <w:keepNext w:val="0"/>
              <w:keepLines w:val="0"/>
              <w:widowControl/>
              <w:suppressLineNumbers w:val="0"/>
              <w:jc w:val="left"/>
              <w:textAlignment w:val="bottom"/>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包头供电公司昆区供电分公司</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2098.76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99.9855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0.32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-0.71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0.09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-0.08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140.00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1.31 </w:t>
            </w:r>
          </w:p>
        </w:tc>
        <w:tc>
          <w:tcPr>
            <w:tcW w:w="0" w:type="auto"/>
            <w:vAlign w:val="bottom"/>
          </w:tcPr>
          <w:p>
            <w:pPr>
              <w:keepNext w:val="0"/>
              <w:keepLines w:val="0"/>
              <w:widowControl/>
              <w:suppressLineNumbers w:val="0"/>
              <w:jc w:val="right"/>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5.00 </w:t>
            </w:r>
          </w:p>
        </w:tc>
        <w:tc>
          <w:tcPr>
            <w:tcW w:w="976" w:type="dxa"/>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exact"/>
        </w:trPr>
        <w:tc>
          <w:tcPr>
            <w:tcW w:w="0" w:type="auto"/>
            <w:vAlign w:val="bottom"/>
          </w:tcPr>
          <w:p>
            <w:pPr>
              <w:keepNext w:val="0"/>
              <w:keepLines w:val="0"/>
              <w:widowControl/>
              <w:suppressLineNumbers w:val="0"/>
              <w:jc w:val="left"/>
              <w:textAlignment w:val="bottom"/>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包头供电公司白云供电分公司</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295.00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99.8115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4.16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3.20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0.56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0.37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8.00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0.16 </w:t>
            </w:r>
          </w:p>
        </w:tc>
        <w:tc>
          <w:tcPr>
            <w:tcW w:w="0" w:type="auto"/>
            <w:vAlign w:val="bottom"/>
          </w:tcPr>
          <w:p>
            <w:pPr>
              <w:keepNext w:val="0"/>
              <w:keepLines w:val="0"/>
              <w:widowControl/>
              <w:suppressLineNumbers w:val="0"/>
              <w:jc w:val="right"/>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0.00 </w:t>
            </w:r>
          </w:p>
        </w:tc>
        <w:tc>
          <w:tcPr>
            <w:tcW w:w="976" w:type="dxa"/>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exact"/>
        </w:trPr>
        <w:tc>
          <w:tcPr>
            <w:tcW w:w="0" w:type="auto"/>
            <w:vAlign w:val="bottom"/>
          </w:tcPr>
          <w:p>
            <w:pPr>
              <w:keepNext w:val="0"/>
              <w:keepLines w:val="0"/>
              <w:widowControl/>
              <w:suppressLineNumbers w:val="0"/>
              <w:jc w:val="left"/>
              <w:textAlignment w:val="bottom"/>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包头供电公司石拐供电分公司</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196.76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99.9747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0.56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-1.19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0.18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-0.17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3.00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0.24 </w:t>
            </w:r>
          </w:p>
        </w:tc>
        <w:tc>
          <w:tcPr>
            <w:tcW w:w="0" w:type="auto"/>
            <w:vAlign w:val="bottom"/>
          </w:tcPr>
          <w:p>
            <w:pPr>
              <w:keepNext w:val="0"/>
              <w:keepLines w:val="0"/>
              <w:widowControl/>
              <w:suppressLineNumbers w:val="0"/>
              <w:jc w:val="right"/>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0.00 </w:t>
            </w:r>
          </w:p>
        </w:tc>
        <w:tc>
          <w:tcPr>
            <w:tcW w:w="976" w:type="dxa"/>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2" w:hRule="exact"/>
        </w:trPr>
        <w:tc>
          <w:tcPr>
            <w:tcW w:w="0" w:type="auto"/>
            <w:vAlign w:val="bottom"/>
          </w:tcPr>
          <w:p>
            <w:pPr>
              <w:keepNext w:val="0"/>
              <w:keepLines w:val="0"/>
              <w:widowControl/>
              <w:suppressLineNumbers w:val="0"/>
              <w:jc w:val="left"/>
              <w:textAlignment w:val="bottom"/>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包头供电公司高新供电分公司</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1533.07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99.9282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1.59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0.89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0.38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0.18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92.00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0.33 </w:t>
            </w:r>
          </w:p>
        </w:tc>
        <w:tc>
          <w:tcPr>
            <w:tcW w:w="0" w:type="auto"/>
            <w:vAlign w:val="bottom"/>
          </w:tcPr>
          <w:p>
            <w:pPr>
              <w:keepNext w:val="0"/>
              <w:keepLines w:val="0"/>
              <w:widowControl/>
              <w:suppressLineNumbers w:val="0"/>
              <w:jc w:val="right"/>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1.00 </w:t>
            </w:r>
          </w:p>
        </w:tc>
        <w:tc>
          <w:tcPr>
            <w:tcW w:w="976" w:type="dxa"/>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0.02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exact"/>
        </w:trPr>
        <w:tc>
          <w:tcPr>
            <w:tcW w:w="0" w:type="auto"/>
            <w:vAlign w:val="bottom"/>
          </w:tcPr>
          <w:p>
            <w:pPr>
              <w:keepNext w:val="0"/>
              <w:keepLines w:val="0"/>
              <w:widowControl/>
              <w:suppressLineNumbers w:val="0"/>
              <w:jc w:val="left"/>
              <w:textAlignment w:val="bottom"/>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包头供电公司新都市区供电分公司</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1021.68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99.9775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0.53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-2.30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0.15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-0.19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95.00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1.28 </w:t>
            </w:r>
          </w:p>
        </w:tc>
        <w:tc>
          <w:tcPr>
            <w:tcW w:w="0" w:type="auto"/>
            <w:vAlign w:val="bottom"/>
          </w:tcPr>
          <w:p>
            <w:pPr>
              <w:keepNext w:val="0"/>
              <w:keepLines w:val="0"/>
              <w:widowControl/>
              <w:suppressLineNumbers w:val="0"/>
              <w:jc w:val="right"/>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0.00 </w:t>
            </w:r>
          </w:p>
        </w:tc>
        <w:tc>
          <w:tcPr>
            <w:tcW w:w="976" w:type="dxa"/>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exact"/>
        </w:trPr>
        <w:tc>
          <w:tcPr>
            <w:tcW w:w="0" w:type="auto"/>
            <w:vAlign w:val="bottom"/>
          </w:tcPr>
          <w:p>
            <w:pPr>
              <w:keepNext w:val="0"/>
              <w:keepLines w:val="0"/>
              <w:widowControl/>
              <w:suppressLineNumbers w:val="0"/>
              <w:jc w:val="left"/>
              <w:textAlignment w:val="bottom"/>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包头供电公司九原供电分公司</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70.96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100.0000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-4.23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-0.85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0.00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0.00 </w:t>
            </w:r>
          </w:p>
        </w:tc>
        <w:tc>
          <w:tcPr>
            <w:tcW w:w="0" w:type="auto"/>
            <w:vAlign w:val="bottom"/>
          </w:tcPr>
          <w:p>
            <w:pPr>
              <w:keepNext w:val="0"/>
              <w:keepLines w:val="0"/>
              <w:widowControl/>
              <w:suppressLineNumbers w:val="0"/>
              <w:jc w:val="right"/>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0.00 </w:t>
            </w:r>
          </w:p>
        </w:tc>
        <w:tc>
          <w:tcPr>
            <w:tcW w:w="976" w:type="dxa"/>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exact"/>
        </w:trPr>
        <w:tc>
          <w:tcPr>
            <w:tcW w:w="0" w:type="auto"/>
            <w:vAlign w:val="bottom"/>
          </w:tcPr>
          <w:p>
            <w:pPr>
              <w:keepNext w:val="0"/>
              <w:keepLines w:val="0"/>
              <w:widowControl/>
              <w:suppressLineNumbers w:val="0"/>
              <w:jc w:val="left"/>
              <w:textAlignment w:val="bottom"/>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包头供电公司土右供电分公司</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148.71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99.8795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3.32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3.13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1.23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0.82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5.00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0.23 </w:t>
            </w:r>
          </w:p>
        </w:tc>
        <w:tc>
          <w:tcPr>
            <w:tcW w:w="0" w:type="auto"/>
            <w:vAlign w:val="bottom"/>
          </w:tcPr>
          <w:p>
            <w:pPr>
              <w:keepNext w:val="0"/>
              <w:keepLines w:val="0"/>
              <w:widowControl/>
              <w:suppressLineNumbers w:val="0"/>
              <w:jc w:val="right"/>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0.00 </w:t>
            </w:r>
          </w:p>
        </w:tc>
        <w:tc>
          <w:tcPr>
            <w:tcW w:w="976" w:type="dxa"/>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exact"/>
        </w:trPr>
        <w:tc>
          <w:tcPr>
            <w:tcW w:w="0" w:type="auto"/>
            <w:vAlign w:val="bottom"/>
          </w:tcPr>
          <w:p>
            <w:pPr>
              <w:keepNext w:val="0"/>
              <w:keepLines w:val="0"/>
              <w:widowControl/>
              <w:suppressLineNumbers w:val="0"/>
              <w:jc w:val="left"/>
              <w:textAlignment w:val="bottom"/>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包头供电公司固阳供电分公司</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184.00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99.8956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2.55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-4.61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0.32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-0.97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26.00 </w:t>
            </w:r>
          </w:p>
        </w:tc>
        <w:tc>
          <w:tcPr>
            <w:tcW w:w="0" w:type="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2.71 </w:t>
            </w:r>
          </w:p>
        </w:tc>
        <w:tc>
          <w:tcPr>
            <w:tcW w:w="0" w:type="auto"/>
            <w:vAlign w:val="bottom"/>
          </w:tcPr>
          <w:p>
            <w:pPr>
              <w:keepNext w:val="0"/>
              <w:keepLines w:val="0"/>
              <w:widowControl/>
              <w:suppressLineNumbers w:val="0"/>
              <w:jc w:val="right"/>
              <w:textAlignment w:val="bottom"/>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0.00 </w:t>
            </w:r>
          </w:p>
        </w:tc>
        <w:tc>
          <w:tcPr>
            <w:tcW w:w="976" w:type="dxa"/>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0.00 </w:t>
            </w:r>
          </w:p>
        </w:tc>
      </w:tr>
    </w:tbl>
    <w:p>
      <w:pPr>
        <w:keepNext w:val="0"/>
        <w:keepLines w:val="0"/>
        <w:pageBreakBefore w:val="0"/>
        <w:widowControl/>
        <w:kinsoku/>
        <w:wordWrap/>
        <w:overflowPunct/>
        <w:topLinePunct w:val="0"/>
        <w:autoSpaceDE/>
        <w:autoSpaceDN/>
        <w:bidi w:val="0"/>
        <w:adjustRightInd/>
        <w:snapToGrid/>
        <w:spacing w:before="157" w:beforeLines="50"/>
        <w:ind w:left="-107" w:leftChars="-51" w:right="-107" w:rightChars="-51"/>
        <w:jc w:val="left"/>
        <w:textAlignment w:val="auto"/>
        <w:rPr>
          <w:rFonts w:hint="default" w:eastAsia="宋体" w:cs="宋体"/>
          <w:color w:val="auto"/>
          <w:sz w:val="21"/>
          <w:szCs w:val="21"/>
          <w:highlight w:val="none"/>
          <w:lang w:val="en-US" w:eastAsia="zh-CN"/>
        </w:rPr>
      </w:pPr>
      <w:r>
        <w:rPr>
          <w:rFonts w:hint="eastAsia" w:eastAsia="宋体" w:cs="宋体"/>
          <w:color w:val="auto"/>
          <w:sz w:val="21"/>
          <w:szCs w:val="21"/>
          <w:highlight w:val="none"/>
          <w:lang w:val="en-US" w:eastAsia="zh-CN"/>
        </w:rPr>
        <w:t>备注：</w:t>
      </w:r>
      <w:r>
        <w:rPr>
          <w:rFonts w:hint="eastAsia" w:ascii="宋体" w:hAnsi="宋体" w:cs="宋体"/>
          <w:kern w:val="0"/>
          <w:highlight w:val="none"/>
        </w:rPr>
        <w:t>减少的停电时间</w:t>
      </w:r>
      <w:r>
        <w:rPr>
          <w:rFonts w:hint="eastAsia" w:ascii="宋体" w:hAnsi="宋体" w:cs="宋体"/>
          <w:kern w:val="0"/>
          <w:highlight w:val="none"/>
          <w:lang w:val="en-US" w:eastAsia="zh-CN"/>
        </w:rPr>
        <w:t>=对应的作业时户数/等效用户数，需计算。</w:t>
      </w:r>
    </w:p>
    <w:p>
      <w:pPr>
        <w:pStyle w:val="12"/>
        <w:rPr>
          <w:rFonts w:hint="eastAsia"/>
        </w:rPr>
      </w:pPr>
    </w:p>
    <w:p>
      <w:pPr>
        <w:pStyle w:val="3"/>
        <w:keepNext/>
        <w:keepLines/>
        <w:pageBreakBefore w:val="0"/>
        <w:widowControl w:val="0"/>
        <w:numPr>
          <w:ilvl w:val="0"/>
          <w:numId w:val="4"/>
        </w:numPr>
        <w:kinsoku/>
        <w:wordWrap/>
        <w:overflowPunct/>
        <w:topLinePunct w:val="0"/>
        <w:autoSpaceDE/>
        <w:autoSpaceDN/>
        <w:bidi w:val="0"/>
        <w:adjustRightInd/>
        <w:snapToGrid w:val="0"/>
        <w:spacing w:before="0" w:after="0" w:line="312" w:lineRule="auto"/>
        <w:ind w:left="0" w:leftChars="0" w:firstLine="0" w:firstLineChars="0"/>
        <w:jc w:val="both"/>
        <w:textAlignment w:val="auto"/>
        <w:rPr>
          <w:rFonts w:hint="eastAsia" w:ascii="宋体" w:hAnsi="宋体" w:eastAsia="宋体" w:cs="Times New Roman"/>
          <w:b/>
          <w:bCs/>
          <w:sz w:val="28"/>
          <w:szCs w:val="28"/>
          <w:highlight w:val="none"/>
          <w:lang w:val="en-US" w:eastAsia="zh-CN" w:bidi="ar-SA"/>
        </w:rPr>
      </w:pPr>
      <w:bookmarkStart w:id="6" w:name="_Toc503299845"/>
      <w:bookmarkStart w:id="7" w:name="_Toc503299624"/>
      <w:r>
        <w:rPr>
          <w:rFonts w:hint="eastAsia" w:ascii="宋体" w:hAnsi="宋体" w:eastAsia="宋体" w:cs="Times New Roman"/>
          <w:b/>
          <w:bCs/>
          <w:sz w:val="28"/>
          <w:szCs w:val="28"/>
          <w:highlight w:val="none"/>
          <w:lang w:val="en-US" w:eastAsia="zh-CN" w:bidi="ar-SA"/>
        </w:rPr>
        <w:t xml:space="preserve"> </w:t>
      </w:r>
      <w:bookmarkStart w:id="8" w:name="_Toc2824"/>
      <w:bookmarkStart w:id="9" w:name="_Toc23265"/>
      <w:r>
        <w:rPr>
          <w:rFonts w:hint="eastAsia" w:ascii="宋体" w:hAnsi="宋体" w:eastAsia="宋体" w:cs="Times New Roman"/>
          <w:b/>
          <w:bCs/>
          <w:sz w:val="28"/>
          <w:szCs w:val="28"/>
          <w:highlight w:val="none"/>
          <w:lang w:val="en-US" w:eastAsia="zh-CN" w:bidi="ar-SA"/>
        </w:rPr>
        <w:t>供电可靠性基础数据</w:t>
      </w:r>
      <w:bookmarkEnd w:id="6"/>
      <w:bookmarkEnd w:id="8"/>
      <w:bookmarkEnd w:id="9"/>
    </w:p>
    <w:p>
      <w:pPr>
        <w:jc w:val="center"/>
        <w:rPr>
          <w:rFonts w:hint="eastAsia" w:ascii="宋体" w:hAnsi="宋体" w:eastAsia="宋体" w:cs="宋体"/>
          <w:i w:val="0"/>
          <w:color w:val="000000"/>
          <w:kern w:val="0"/>
          <w:sz w:val="20"/>
          <w:szCs w:val="20"/>
          <w:highlight w:val="none"/>
          <w:u w:val="none"/>
          <w:lang w:val="en-US" w:eastAsia="zh-CN" w:bidi="ar"/>
        </w:rPr>
      </w:pPr>
      <w:r>
        <w:rPr>
          <w:rFonts w:hint="eastAsia" w:ascii="黑体" w:hAnsi="黑体" w:eastAsia="黑体" w:cs="黑体"/>
          <w:b w:val="0"/>
          <w:bCs w:val="0"/>
          <w:sz w:val="24"/>
          <w:szCs w:val="24"/>
          <w:highlight w:val="none"/>
          <w:lang w:val="en-US" w:eastAsia="zh-CN"/>
        </w:rPr>
        <w:t xml:space="preserve">表3  </w:t>
      </w:r>
      <w:r>
        <w:rPr>
          <w:rFonts w:hint="eastAsia" w:ascii="黑体" w:hAnsi="黑体" w:eastAsia="黑体" w:cs="黑体"/>
          <w:b w:val="0"/>
          <w:bCs w:val="0"/>
          <w:sz w:val="24"/>
          <w:szCs w:val="24"/>
          <w:highlight w:val="none"/>
        </w:rPr>
        <w:t>供电可靠性基础数据</w:t>
      </w:r>
    </w:p>
    <w:p>
      <w:pPr>
        <w:pStyle w:val="50"/>
        <w:ind w:left="0" w:leftChars="0" w:firstLine="0" w:firstLineChars="0"/>
        <w:jc w:val="right"/>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单位：户、条、km、%、段、户/段</w:t>
      </w:r>
    </w:p>
    <w:tbl>
      <w:tblPr>
        <w:tblStyle w:val="29"/>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056"/>
        <w:gridCol w:w="894"/>
        <w:gridCol w:w="1056"/>
        <w:gridCol w:w="951"/>
        <w:gridCol w:w="910"/>
        <w:gridCol w:w="945"/>
        <w:gridCol w:w="793"/>
        <w:gridCol w:w="802"/>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07" w:type="dxa"/>
            <w:vMerge w:val="restart"/>
            <w:vAlign w:val="center"/>
          </w:tcPr>
          <w:p>
            <w:pPr>
              <w:widowControl/>
              <w:jc w:val="center"/>
              <w:rPr>
                <w:rFonts w:hint="eastAsia" w:ascii="宋体" w:hAnsi="宋体" w:cs="宋体"/>
                <w:kern w:val="0"/>
                <w:highlight w:val="none"/>
              </w:rPr>
            </w:pPr>
            <w:r>
              <w:rPr>
                <w:rFonts w:hint="eastAsia" w:ascii="宋体" w:hAnsi="宋体" w:cs="宋体"/>
                <w:kern w:val="0"/>
                <w:highlight w:val="none"/>
              </w:rPr>
              <w:t>单位</w:t>
            </w:r>
          </w:p>
          <w:p>
            <w:pPr>
              <w:widowControl/>
              <w:jc w:val="center"/>
              <w:rPr>
                <w:rFonts w:hint="eastAsia" w:ascii="宋体" w:hAnsi="宋体" w:cs="宋体"/>
                <w:kern w:val="0"/>
                <w:highlight w:val="none"/>
              </w:rPr>
            </w:pPr>
            <w:r>
              <w:rPr>
                <w:rFonts w:hint="eastAsia" w:ascii="宋体" w:hAnsi="宋体" w:cs="宋体"/>
                <w:kern w:val="0"/>
                <w:highlight w:val="none"/>
              </w:rPr>
              <w:t>名称</w:t>
            </w:r>
          </w:p>
        </w:tc>
        <w:tc>
          <w:tcPr>
            <w:tcW w:w="1056" w:type="dxa"/>
            <w:vMerge w:val="restart"/>
            <w:vAlign w:val="center"/>
          </w:tcPr>
          <w:p>
            <w:pPr>
              <w:widowControl/>
              <w:jc w:val="center"/>
              <w:rPr>
                <w:rFonts w:hint="eastAsia" w:ascii="宋体" w:hAnsi="宋体" w:cs="宋体"/>
                <w:kern w:val="0"/>
                <w:highlight w:val="none"/>
              </w:rPr>
            </w:pPr>
            <w:r>
              <w:rPr>
                <w:rFonts w:hint="eastAsia" w:ascii="宋体" w:hAnsi="宋体" w:cs="宋体"/>
                <w:kern w:val="0"/>
                <w:highlight w:val="none"/>
              </w:rPr>
              <w:t>用户数</w:t>
            </w:r>
          </w:p>
        </w:tc>
        <w:tc>
          <w:tcPr>
            <w:tcW w:w="894" w:type="dxa"/>
            <w:vMerge w:val="restart"/>
            <w:vAlign w:val="center"/>
          </w:tcPr>
          <w:p>
            <w:pPr>
              <w:widowControl/>
              <w:jc w:val="center"/>
              <w:rPr>
                <w:rFonts w:hint="eastAsia" w:ascii="宋体" w:hAnsi="宋体" w:cs="宋体"/>
                <w:kern w:val="0"/>
                <w:highlight w:val="none"/>
              </w:rPr>
            </w:pPr>
            <w:r>
              <w:rPr>
                <w:rFonts w:hint="eastAsia" w:ascii="宋体" w:hAnsi="宋体" w:cs="宋体"/>
                <w:kern w:val="0"/>
                <w:highlight w:val="none"/>
              </w:rPr>
              <w:t>公用线路条数</w:t>
            </w:r>
          </w:p>
        </w:tc>
        <w:tc>
          <w:tcPr>
            <w:tcW w:w="2007" w:type="dxa"/>
            <w:gridSpan w:val="2"/>
            <w:vAlign w:val="center"/>
          </w:tcPr>
          <w:p>
            <w:pPr>
              <w:widowControl/>
              <w:jc w:val="center"/>
              <w:rPr>
                <w:rFonts w:hint="eastAsia" w:ascii="宋体" w:hAnsi="宋体" w:cs="宋体"/>
                <w:kern w:val="0"/>
                <w:highlight w:val="none"/>
              </w:rPr>
            </w:pPr>
            <w:r>
              <w:rPr>
                <w:rFonts w:hint="eastAsia" w:ascii="宋体" w:hAnsi="宋体" w:cs="宋体"/>
                <w:kern w:val="0"/>
                <w:highlight w:val="none"/>
              </w:rPr>
              <w:t>线路长度</w:t>
            </w:r>
          </w:p>
        </w:tc>
        <w:tc>
          <w:tcPr>
            <w:tcW w:w="910" w:type="dxa"/>
            <w:vMerge w:val="restart"/>
            <w:vAlign w:val="center"/>
          </w:tcPr>
          <w:p>
            <w:pPr>
              <w:widowControl/>
              <w:jc w:val="center"/>
              <w:rPr>
                <w:rFonts w:hint="eastAsia" w:ascii="宋体" w:hAnsi="宋体" w:eastAsia="宋体" w:cs="宋体"/>
                <w:kern w:val="0"/>
                <w:highlight w:val="none"/>
                <w:lang w:eastAsia="zh-CN"/>
              </w:rPr>
            </w:pPr>
            <w:r>
              <w:rPr>
                <w:rFonts w:hint="eastAsia" w:ascii="宋体" w:hAnsi="宋体" w:cs="宋体"/>
                <w:kern w:val="0"/>
                <w:highlight w:val="none"/>
              </w:rPr>
              <w:t>线路绝缘化率</w:t>
            </w:r>
          </w:p>
        </w:tc>
        <w:tc>
          <w:tcPr>
            <w:tcW w:w="945" w:type="dxa"/>
            <w:vMerge w:val="restart"/>
            <w:vAlign w:val="center"/>
          </w:tcPr>
          <w:p>
            <w:pPr>
              <w:widowControl/>
              <w:jc w:val="center"/>
              <w:rPr>
                <w:rFonts w:hint="eastAsia" w:ascii="宋体" w:hAnsi="宋体" w:cs="宋体"/>
                <w:kern w:val="0"/>
                <w:highlight w:val="none"/>
              </w:rPr>
            </w:pPr>
            <w:r>
              <w:rPr>
                <w:rFonts w:hint="eastAsia" w:ascii="宋体" w:hAnsi="宋体" w:cs="宋体"/>
                <w:kern w:val="0"/>
                <w:highlight w:val="none"/>
              </w:rPr>
              <w:t>架空线</w:t>
            </w:r>
          </w:p>
          <w:p>
            <w:pPr>
              <w:widowControl/>
              <w:jc w:val="center"/>
              <w:rPr>
                <w:rFonts w:hint="eastAsia" w:ascii="宋体" w:hAnsi="宋体" w:cs="宋体"/>
                <w:kern w:val="0"/>
                <w:highlight w:val="none"/>
              </w:rPr>
            </w:pPr>
            <w:r>
              <w:rPr>
                <w:rFonts w:hint="eastAsia" w:ascii="宋体" w:hAnsi="宋体" w:cs="宋体"/>
                <w:kern w:val="0"/>
                <w:highlight w:val="none"/>
              </w:rPr>
              <w:t>路绝缘</w:t>
            </w:r>
          </w:p>
          <w:p>
            <w:pPr>
              <w:widowControl/>
              <w:jc w:val="center"/>
              <w:rPr>
                <w:rFonts w:ascii="宋体" w:hAnsi="宋体" w:cs="宋体"/>
                <w:kern w:val="0"/>
                <w:highlight w:val="none"/>
              </w:rPr>
            </w:pPr>
            <w:r>
              <w:rPr>
                <w:rFonts w:hint="eastAsia" w:ascii="宋体" w:hAnsi="宋体" w:cs="宋体"/>
                <w:kern w:val="0"/>
                <w:highlight w:val="none"/>
              </w:rPr>
              <w:t>化率</w:t>
            </w:r>
          </w:p>
        </w:tc>
        <w:tc>
          <w:tcPr>
            <w:tcW w:w="793" w:type="dxa"/>
            <w:vMerge w:val="restart"/>
            <w:vAlign w:val="center"/>
          </w:tcPr>
          <w:p>
            <w:pPr>
              <w:widowControl/>
              <w:jc w:val="center"/>
              <w:rPr>
                <w:rFonts w:hint="eastAsia" w:ascii="宋体" w:hAnsi="宋体" w:cs="宋体"/>
                <w:kern w:val="0"/>
                <w:highlight w:val="none"/>
              </w:rPr>
            </w:pPr>
            <w:r>
              <w:rPr>
                <w:rFonts w:hint="eastAsia" w:ascii="宋体" w:hAnsi="宋体" w:cs="宋体"/>
                <w:kern w:val="0"/>
                <w:highlight w:val="none"/>
              </w:rPr>
              <w:t>线路电缆化率</w:t>
            </w:r>
          </w:p>
        </w:tc>
        <w:tc>
          <w:tcPr>
            <w:tcW w:w="802" w:type="dxa"/>
            <w:vMerge w:val="restart"/>
            <w:vAlign w:val="center"/>
          </w:tcPr>
          <w:p>
            <w:pPr>
              <w:widowControl/>
              <w:jc w:val="center"/>
              <w:rPr>
                <w:rFonts w:hint="eastAsia" w:ascii="宋体" w:hAnsi="宋体" w:cs="宋体"/>
                <w:kern w:val="0"/>
                <w:highlight w:val="none"/>
              </w:rPr>
            </w:pPr>
            <w:r>
              <w:rPr>
                <w:rFonts w:hint="eastAsia" w:ascii="宋体" w:hAnsi="宋体" w:cs="宋体"/>
                <w:kern w:val="0"/>
                <w:highlight w:val="none"/>
              </w:rPr>
              <w:t>线路平均分段数</w:t>
            </w:r>
          </w:p>
        </w:tc>
        <w:tc>
          <w:tcPr>
            <w:tcW w:w="967" w:type="dxa"/>
            <w:vMerge w:val="restart"/>
            <w:vAlign w:val="center"/>
          </w:tcPr>
          <w:p>
            <w:pPr>
              <w:widowControl/>
              <w:jc w:val="center"/>
              <w:rPr>
                <w:rFonts w:hint="eastAsia" w:ascii="宋体" w:hAnsi="宋体" w:cs="宋体"/>
                <w:kern w:val="0"/>
                <w:highlight w:val="none"/>
              </w:rPr>
            </w:pPr>
            <w:r>
              <w:rPr>
                <w:rFonts w:hint="eastAsia" w:ascii="宋体" w:hAnsi="宋体" w:cs="宋体"/>
                <w:kern w:val="0"/>
                <w:highlight w:val="none"/>
              </w:rPr>
              <w:t>平均每段线路用户数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Merge w:val="continue"/>
            <w:vAlign w:val="center"/>
          </w:tcPr>
          <w:p>
            <w:pPr>
              <w:widowControl/>
              <w:jc w:val="center"/>
              <w:rPr>
                <w:rFonts w:hint="eastAsia" w:ascii="宋体" w:hAnsi="宋体" w:cs="宋体"/>
                <w:kern w:val="0"/>
                <w:highlight w:val="none"/>
              </w:rPr>
            </w:pPr>
            <w:r>
              <w:rPr>
                <w:rFonts w:hint="eastAsia" w:ascii="宋体" w:hAnsi="宋体" w:cs="宋体"/>
                <w:i/>
                <w:color w:val="FFFFFF"/>
                <w:highlight w:val="none"/>
              </w:rPr>
              <w:t>　　　</w:t>
            </w:r>
          </w:p>
        </w:tc>
        <w:tc>
          <w:tcPr>
            <w:tcW w:w="1056" w:type="dxa"/>
            <w:vMerge w:val="continue"/>
            <w:vAlign w:val="top"/>
          </w:tcPr>
          <w:p>
            <w:pPr>
              <w:widowControl/>
              <w:jc w:val="center"/>
              <w:rPr>
                <w:rFonts w:hint="eastAsia" w:ascii="宋体" w:hAnsi="宋体" w:cs="宋体"/>
                <w:kern w:val="0"/>
                <w:highlight w:val="none"/>
              </w:rPr>
            </w:pPr>
            <w:r>
              <w:rPr>
                <w:rFonts w:hint="eastAsia" w:ascii="宋体" w:hAnsi="宋体" w:cs="宋体"/>
                <w:kern w:val="0"/>
                <w:highlight w:val="none"/>
              </w:rPr>
              <w:t>　　</w:t>
            </w:r>
          </w:p>
        </w:tc>
        <w:tc>
          <w:tcPr>
            <w:tcW w:w="894" w:type="dxa"/>
            <w:vMerge w:val="continue"/>
            <w:vAlign w:val="top"/>
          </w:tcPr>
          <w:p>
            <w:pPr>
              <w:widowControl/>
              <w:jc w:val="center"/>
              <w:rPr>
                <w:rFonts w:hint="eastAsia" w:ascii="宋体" w:hAnsi="宋体" w:cs="宋体"/>
                <w:kern w:val="0"/>
                <w:highlight w:val="none"/>
              </w:rPr>
            </w:pPr>
            <w:r>
              <w:rPr>
                <w:rFonts w:hint="eastAsia" w:ascii="宋体" w:hAnsi="宋体" w:cs="宋体"/>
                <w:i/>
                <w:color w:val="FFFFFF"/>
                <w:highlight w:val="none"/>
              </w:rPr>
              <w:t>　　　</w:t>
            </w:r>
          </w:p>
        </w:tc>
        <w:tc>
          <w:tcPr>
            <w:tcW w:w="1056" w:type="dxa"/>
            <w:vAlign w:val="top"/>
          </w:tcPr>
          <w:p>
            <w:pPr>
              <w:jc w:val="center"/>
              <w:rPr>
                <w:rFonts w:hint="eastAsia" w:ascii="宋体" w:hAnsi="宋体" w:cs="宋体"/>
                <w:kern w:val="0"/>
                <w:highlight w:val="none"/>
              </w:rPr>
            </w:pPr>
            <w:r>
              <w:rPr>
                <w:rFonts w:hint="eastAsia" w:ascii="宋体" w:hAnsi="宋体" w:cs="宋体"/>
                <w:kern w:val="0"/>
                <w:highlight w:val="none"/>
              </w:rPr>
              <w:t>架空</w:t>
            </w:r>
          </w:p>
          <w:p>
            <w:pPr>
              <w:jc w:val="center"/>
              <w:rPr>
                <w:rFonts w:hint="eastAsia" w:ascii="宋体" w:hAnsi="宋体"/>
                <w:highlight w:val="none"/>
              </w:rPr>
            </w:pPr>
            <w:r>
              <w:rPr>
                <w:rFonts w:hint="eastAsia" w:ascii="宋体" w:hAnsi="宋体" w:cs="宋体"/>
                <w:kern w:val="0"/>
                <w:highlight w:val="none"/>
              </w:rPr>
              <w:t>线路</w:t>
            </w:r>
          </w:p>
        </w:tc>
        <w:tc>
          <w:tcPr>
            <w:tcW w:w="951" w:type="dxa"/>
            <w:vAlign w:val="top"/>
          </w:tcPr>
          <w:p>
            <w:pPr>
              <w:jc w:val="center"/>
              <w:rPr>
                <w:rFonts w:hint="eastAsia" w:ascii="宋体" w:hAnsi="宋体" w:cs="宋体"/>
                <w:kern w:val="0"/>
                <w:highlight w:val="none"/>
              </w:rPr>
            </w:pPr>
            <w:r>
              <w:rPr>
                <w:rFonts w:hint="eastAsia" w:ascii="宋体" w:hAnsi="宋体" w:cs="宋体"/>
                <w:kern w:val="0"/>
                <w:highlight w:val="none"/>
              </w:rPr>
              <w:t>电缆线路</w:t>
            </w:r>
          </w:p>
        </w:tc>
        <w:tc>
          <w:tcPr>
            <w:tcW w:w="910" w:type="dxa"/>
            <w:vMerge w:val="continue"/>
            <w:vAlign w:val="top"/>
          </w:tcPr>
          <w:p>
            <w:pPr>
              <w:widowControl/>
              <w:jc w:val="center"/>
              <w:rPr>
                <w:rFonts w:hint="eastAsia" w:ascii="宋体" w:hAnsi="宋体" w:cs="宋体"/>
                <w:kern w:val="0"/>
                <w:highlight w:val="none"/>
              </w:rPr>
            </w:pPr>
            <w:r>
              <w:rPr>
                <w:rFonts w:hint="eastAsia" w:ascii="宋体" w:hAnsi="宋体" w:cs="宋体"/>
                <w:kern w:val="0"/>
                <w:highlight w:val="none"/>
              </w:rPr>
              <w:t>　　</w:t>
            </w:r>
          </w:p>
        </w:tc>
        <w:tc>
          <w:tcPr>
            <w:tcW w:w="945" w:type="dxa"/>
            <w:vMerge w:val="continue"/>
            <w:vAlign w:val="center"/>
          </w:tcPr>
          <w:p>
            <w:pPr>
              <w:jc w:val="center"/>
              <w:rPr>
                <w:rFonts w:ascii="宋体" w:hAnsi="宋体" w:cs="宋体"/>
                <w:kern w:val="0"/>
                <w:highlight w:val="none"/>
              </w:rPr>
            </w:pPr>
            <w:r>
              <w:rPr>
                <w:rFonts w:ascii="宋体" w:hAnsi="宋体" w:cs="宋体"/>
                <w:kern w:val="0"/>
                <w:highlight w:val="none"/>
              </w:rPr>
              <w:t>　　</w:t>
            </w:r>
          </w:p>
        </w:tc>
        <w:tc>
          <w:tcPr>
            <w:tcW w:w="793" w:type="dxa"/>
            <w:vMerge w:val="continue"/>
            <w:vAlign w:val="top"/>
          </w:tcPr>
          <w:p>
            <w:pPr>
              <w:widowControl/>
              <w:jc w:val="center"/>
              <w:rPr>
                <w:rFonts w:hint="eastAsia" w:ascii="宋体" w:hAnsi="宋体" w:cs="宋体"/>
                <w:kern w:val="0"/>
                <w:highlight w:val="none"/>
              </w:rPr>
            </w:pPr>
            <w:r>
              <w:rPr>
                <w:rFonts w:hint="eastAsia" w:ascii="宋体" w:hAnsi="宋体" w:cs="宋体"/>
                <w:kern w:val="0"/>
                <w:highlight w:val="none"/>
              </w:rPr>
              <w:t>　　</w:t>
            </w:r>
          </w:p>
        </w:tc>
        <w:tc>
          <w:tcPr>
            <w:tcW w:w="802" w:type="dxa"/>
            <w:vMerge w:val="continue"/>
            <w:vAlign w:val="top"/>
          </w:tcPr>
          <w:p>
            <w:pPr>
              <w:widowControl/>
              <w:jc w:val="center"/>
              <w:rPr>
                <w:rFonts w:hint="eastAsia" w:ascii="宋体" w:hAnsi="宋体" w:cs="宋体"/>
                <w:kern w:val="0"/>
                <w:highlight w:val="none"/>
              </w:rPr>
            </w:pPr>
            <w:r>
              <w:rPr>
                <w:rFonts w:hint="eastAsia" w:ascii="宋体" w:hAnsi="宋体" w:cs="宋体"/>
                <w:i/>
                <w:color w:val="FFFFFF"/>
                <w:highlight w:val="none"/>
              </w:rPr>
              <w:t>　　　</w:t>
            </w:r>
          </w:p>
        </w:tc>
        <w:tc>
          <w:tcPr>
            <w:tcW w:w="967" w:type="dxa"/>
            <w:vMerge w:val="continue"/>
            <w:vAlign w:val="top"/>
          </w:tcPr>
          <w:p>
            <w:pPr>
              <w:widowControl/>
              <w:jc w:val="center"/>
              <w:rPr>
                <w:rFonts w:hint="eastAsia" w:ascii="宋体" w:hAnsi="宋体" w:cs="宋体"/>
                <w:kern w:val="0"/>
                <w:highlight w:val="none"/>
              </w:rPr>
            </w:pPr>
            <w:r>
              <w:rPr>
                <w:rFonts w:hint="eastAsia" w:ascii="宋体" w:hAnsi="宋体" w:cs="宋体"/>
                <w:i/>
                <w:color w:val="FFFFFF"/>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w:t>
            </w:r>
          </w:p>
        </w:tc>
        <w:tc>
          <w:tcPr>
            <w:tcW w:w="1056" w:type="dxa"/>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27810.00 </w:t>
            </w:r>
          </w:p>
        </w:tc>
        <w:tc>
          <w:tcPr>
            <w:tcW w:w="894"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941.00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13346.38 </w:t>
            </w:r>
          </w:p>
        </w:tc>
        <w:tc>
          <w:tcPr>
            <w:tcW w:w="951"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2072.23 </w:t>
            </w:r>
          </w:p>
        </w:tc>
        <w:tc>
          <w:tcPr>
            <w:tcW w:w="910"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33.72 </w:t>
            </w:r>
          </w:p>
        </w:tc>
        <w:tc>
          <w:tcPr>
            <w:tcW w:w="945"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23.43 </w:t>
            </w:r>
          </w:p>
        </w:tc>
        <w:tc>
          <w:tcPr>
            <w:tcW w:w="793"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13.44 </w:t>
            </w:r>
          </w:p>
        </w:tc>
        <w:tc>
          <w:tcPr>
            <w:tcW w:w="802"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2.68 </w:t>
            </w:r>
          </w:p>
        </w:tc>
        <w:tc>
          <w:tcPr>
            <w:tcW w:w="967"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包头供电公司东河供电分公司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2366.38 </w:t>
            </w:r>
          </w:p>
        </w:tc>
        <w:tc>
          <w:tcPr>
            <w:tcW w:w="894"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119.00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322.11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306.82 </w:t>
            </w:r>
          </w:p>
        </w:tc>
        <w:tc>
          <w:tcPr>
            <w:tcW w:w="910"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100.00 </w:t>
            </w:r>
          </w:p>
        </w:tc>
        <w:tc>
          <w:tcPr>
            <w:tcW w:w="945"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100.00 </w:t>
            </w:r>
          </w:p>
        </w:tc>
        <w:tc>
          <w:tcPr>
            <w:tcW w:w="793" w:type="dxa"/>
            <w:vAlign w:val="center"/>
          </w:tcPr>
          <w:p>
            <w:pPr>
              <w:keepNext w:val="0"/>
              <w:keepLines w:val="0"/>
              <w:widowControl/>
              <w:suppressLineNumbers w:val="0"/>
              <w:jc w:val="center"/>
              <w:textAlignment w:val="center"/>
              <w:rPr>
                <w:rFonts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48.78 </w:t>
            </w:r>
          </w:p>
        </w:tc>
        <w:tc>
          <w:tcPr>
            <w:tcW w:w="802"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2.50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包头供电公司青山供电分公司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2722.71 </w:t>
            </w:r>
          </w:p>
        </w:tc>
        <w:tc>
          <w:tcPr>
            <w:tcW w:w="894"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160.00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364.38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287.83 </w:t>
            </w:r>
          </w:p>
        </w:tc>
        <w:tc>
          <w:tcPr>
            <w:tcW w:w="910"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96.43 </w:t>
            </w:r>
          </w:p>
        </w:tc>
        <w:tc>
          <w:tcPr>
            <w:tcW w:w="945"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93.62 </w:t>
            </w:r>
          </w:p>
        </w:tc>
        <w:tc>
          <w:tcPr>
            <w:tcW w:w="793" w:type="dxa"/>
            <w:vAlign w:val="center"/>
          </w:tcPr>
          <w:p>
            <w:pPr>
              <w:keepNext w:val="0"/>
              <w:keepLines w:val="0"/>
              <w:widowControl/>
              <w:suppressLineNumbers w:val="0"/>
              <w:jc w:val="center"/>
              <w:textAlignment w:val="center"/>
              <w:rPr>
                <w:rFonts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44.13 </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2.43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包头供电公司昆区供电分公司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2607.17 </w:t>
            </w:r>
          </w:p>
        </w:tc>
        <w:tc>
          <w:tcPr>
            <w:tcW w:w="894"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97.00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397.51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353.26 </w:t>
            </w:r>
          </w:p>
        </w:tc>
        <w:tc>
          <w:tcPr>
            <w:tcW w:w="910"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90.30 </w:t>
            </w:r>
          </w:p>
        </w:tc>
        <w:tc>
          <w:tcPr>
            <w:tcW w:w="945"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81.67 </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47.05 </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2.70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包头供电公司白云供电分公司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479.82 </w:t>
            </w:r>
          </w:p>
        </w:tc>
        <w:tc>
          <w:tcPr>
            <w:tcW w:w="894"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305.11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34.73 </w:t>
            </w:r>
          </w:p>
        </w:tc>
        <w:tc>
          <w:tcPr>
            <w:tcW w:w="910"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14.64 </w:t>
            </w:r>
          </w:p>
        </w:tc>
        <w:tc>
          <w:tcPr>
            <w:tcW w:w="945"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4.93 </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10.22 </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3.14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包头供电公司石拐供电分公司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978.57 </w:t>
            </w:r>
          </w:p>
        </w:tc>
        <w:tc>
          <w:tcPr>
            <w:tcW w:w="894"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43.00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489.81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94.60 </w:t>
            </w:r>
          </w:p>
        </w:tc>
        <w:tc>
          <w:tcPr>
            <w:tcW w:w="910"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44.15 </w:t>
            </w:r>
          </w:p>
        </w:tc>
        <w:tc>
          <w:tcPr>
            <w:tcW w:w="945"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33.36 </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16.19 </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3.02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包头供电公司高新供电分公司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1640.74 </w:t>
            </w:r>
          </w:p>
        </w:tc>
        <w:tc>
          <w:tcPr>
            <w:tcW w:w="894"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101.00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214.79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313.39 </w:t>
            </w:r>
          </w:p>
        </w:tc>
        <w:tc>
          <w:tcPr>
            <w:tcW w:w="910"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90.47 </w:t>
            </w:r>
          </w:p>
        </w:tc>
        <w:tc>
          <w:tcPr>
            <w:tcW w:w="945"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76.56 </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59.33 </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1.76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包头供电公司新都市区供电分公司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1021.68 </w:t>
            </w:r>
          </w:p>
        </w:tc>
        <w:tc>
          <w:tcPr>
            <w:tcW w:w="894"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70.00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93.05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182.45 </w:t>
            </w:r>
          </w:p>
        </w:tc>
        <w:tc>
          <w:tcPr>
            <w:tcW w:w="910"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96.61 </w:t>
            </w:r>
          </w:p>
        </w:tc>
        <w:tc>
          <w:tcPr>
            <w:tcW w:w="945"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89.97 </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66.23 </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2.08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包头供电公司九原供电分公司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4551.84 </w:t>
            </w:r>
          </w:p>
        </w:tc>
        <w:tc>
          <w:tcPr>
            <w:tcW w:w="894"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98.00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1397.54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271.43 </w:t>
            </w:r>
          </w:p>
        </w:tc>
        <w:tc>
          <w:tcPr>
            <w:tcW w:w="910"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81.09 </w:t>
            </w:r>
          </w:p>
        </w:tc>
        <w:tc>
          <w:tcPr>
            <w:tcW w:w="945"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77.42 </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16.26 </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3.47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包头供电公司土右供电分公司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3389.34 </w:t>
            </w:r>
          </w:p>
        </w:tc>
        <w:tc>
          <w:tcPr>
            <w:tcW w:w="894"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90.00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1811.79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105.80 </w:t>
            </w:r>
          </w:p>
        </w:tc>
        <w:tc>
          <w:tcPr>
            <w:tcW w:w="910"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28.14 </w:t>
            </w:r>
          </w:p>
        </w:tc>
        <w:tc>
          <w:tcPr>
            <w:tcW w:w="945"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23.95 </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5.52 </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3.30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包头供电公司固阳供电分公司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3579.87 </w:t>
            </w:r>
          </w:p>
        </w:tc>
        <w:tc>
          <w:tcPr>
            <w:tcW w:w="894"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90.00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2986.32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43.75 </w:t>
            </w:r>
          </w:p>
        </w:tc>
        <w:tc>
          <w:tcPr>
            <w:tcW w:w="910"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6.22 </w:t>
            </w:r>
          </w:p>
        </w:tc>
        <w:tc>
          <w:tcPr>
            <w:tcW w:w="945"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4.84 </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1.44 </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2.84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9.95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包头供电公司达茂供电分公司</w:t>
            </w:r>
          </w:p>
        </w:tc>
        <w:tc>
          <w:tcPr>
            <w:tcW w:w="1056"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4420.89 </w:t>
            </w:r>
          </w:p>
        </w:tc>
        <w:tc>
          <w:tcPr>
            <w:tcW w:w="894"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65.00 </w:t>
            </w:r>
          </w:p>
        </w:tc>
        <w:tc>
          <w:tcPr>
            <w:tcW w:w="1056"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4895.75 </w:t>
            </w:r>
          </w:p>
        </w:tc>
        <w:tc>
          <w:tcPr>
            <w:tcW w:w="951"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60.58 </w:t>
            </w:r>
          </w:p>
        </w:tc>
        <w:tc>
          <w:tcPr>
            <w:tcW w:w="910"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2.08 </w:t>
            </w:r>
          </w:p>
        </w:tc>
        <w:tc>
          <w:tcPr>
            <w:tcW w:w="945"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0.87 </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1.22 </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3.73 </w:t>
            </w:r>
          </w:p>
        </w:tc>
        <w:tc>
          <w:tcPr>
            <w:tcW w:w="967"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10.06 </w:t>
            </w:r>
          </w:p>
        </w:tc>
      </w:tr>
    </w:tbl>
    <w:p>
      <w:pPr>
        <w:spacing w:line="312" w:lineRule="auto"/>
        <w:rPr>
          <w:rFonts w:hint="eastAsia" w:ascii="宋体" w:hAnsi="宋体"/>
          <w:sz w:val="24"/>
          <w:szCs w:val="24"/>
          <w:highlight w:val="none"/>
        </w:rPr>
      </w:pPr>
    </w:p>
    <w:bookmarkEnd w:id="7"/>
    <w:p>
      <w:pPr>
        <w:pStyle w:val="3"/>
        <w:keepNext/>
        <w:keepLines/>
        <w:pageBreakBefore w:val="0"/>
        <w:widowControl w:val="0"/>
        <w:numPr>
          <w:ilvl w:val="0"/>
          <w:numId w:val="4"/>
        </w:numPr>
        <w:kinsoku/>
        <w:wordWrap/>
        <w:overflowPunct/>
        <w:topLinePunct w:val="0"/>
        <w:autoSpaceDE/>
        <w:autoSpaceDN/>
        <w:bidi w:val="0"/>
        <w:adjustRightInd/>
        <w:snapToGrid w:val="0"/>
        <w:spacing w:before="0" w:after="0" w:line="312" w:lineRule="auto"/>
        <w:ind w:left="0" w:leftChars="0" w:firstLine="0" w:firstLineChars="0"/>
        <w:jc w:val="both"/>
        <w:textAlignment w:val="auto"/>
        <w:rPr>
          <w:rFonts w:hint="default" w:ascii="宋体" w:hAnsi="宋体" w:cs="宋体"/>
          <w:b/>
          <w:bCs/>
          <w:kern w:val="2"/>
          <w:sz w:val="24"/>
          <w:szCs w:val="24"/>
          <w:lang w:val="en-US" w:eastAsia="zh-CN" w:bidi="ar-SA"/>
        </w:rPr>
      </w:pPr>
      <w:r>
        <w:rPr>
          <w:rFonts w:hint="eastAsia" w:ascii="宋体" w:hAnsi="宋体" w:eastAsia="宋体" w:cs="Times New Roman"/>
          <w:b/>
          <w:bCs/>
          <w:sz w:val="28"/>
          <w:szCs w:val="28"/>
          <w:lang w:val="en-US" w:eastAsia="zh-CN" w:bidi="ar-SA"/>
        </w:rPr>
        <w:t xml:space="preserve"> 停电</w:t>
      </w:r>
      <w:r>
        <w:rPr>
          <w:rFonts w:hint="eastAsia" w:ascii="宋体" w:hAnsi="宋体" w:cs="Times New Roman"/>
          <w:b/>
          <w:bCs/>
          <w:sz w:val="28"/>
          <w:szCs w:val="28"/>
          <w:lang w:val="en-US" w:eastAsia="zh-CN" w:bidi="ar-SA"/>
        </w:rPr>
        <w:t>责任</w:t>
      </w:r>
      <w:r>
        <w:rPr>
          <w:rFonts w:hint="eastAsia" w:ascii="宋体" w:hAnsi="宋体" w:eastAsia="宋体" w:cs="Times New Roman"/>
          <w:b/>
          <w:bCs/>
          <w:sz w:val="28"/>
          <w:szCs w:val="28"/>
          <w:lang w:val="en-US" w:eastAsia="zh-CN" w:bidi="ar-SA"/>
        </w:rPr>
        <w:t>原因分析</w:t>
      </w:r>
    </w:p>
    <w:p>
      <w:pPr>
        <w:pStyle w:val="4"/>
        <w:keepNext/>
        <w:keepLines/>
        <w:pageBreakBefore w:val="0"/>
        <w:widowControl w:val="0"/>
        <w:numPr>
          <w:ilvl w:val="1"/>
          <w:numId w:val="4"/>
        </w:numPr>
        <w:kinsoku/>
        <w:wordWrap/>
        <w:overflowPunct/>
        <w:topLinePunct w:val="0"/>
        <w:autoSpaceDE/>
        <w:autoSpaceDN/>
        <w:bidi w:val="0"/>
        <w:adjustRightInd/>
        <w:snapToGrid/>
        <w:spacing w:before="0" w:after="0" w:line="312" w:lineRule="auto"/>
        <w:ind w:left="0" w:leftChars="0" w:firstLine="0" w:firstLineChars="0"/>
        <w:jc w:val="both"/>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 xml:space="preserve"> </w:t>
      </w:r>
      <w:bookmarkStart w:id="10" w:name="_Toc25635"/>
      <w:r>
        <w:rPr>
          <w:rFonts w:hint="eastAsia" w:ascii="宋体" w:hAnsi="宋体" w:cs="宋体"/>
          <w:b/>
          <w:bCs/>
          <w:kern w:val="2"/>
          <w:sz w:val="24"/>
          <w:szCs w:val="24"/>
          <w:lang w:val="en-US" w:eastAsia="zh-CN" w:bidi="ar-SA"/>
        </w:rPr>
        <w:t>责任原因</w:t>
      </w:r>
      <w:r>
        <w:rPr>
          <w:rFonts w:hint="eastAsia" w:ascii="宋体" w:hAnsi="宋体" w:eastAsia="宋体" w:cs="宋体"/>
          <w:b/>
          <w:bCs/>
          <w:kern w:val="2"/>
          <w:sz w:val="24"/>
          <w:szCs w:val="24"/>
          <w:lang w:val="en-US" w:eastAsia="zh-CN" w:bidi="ar-SA"/>
        </w:rPr>
        <w:t>指标</w:t>
      </w:r>
      <w:r>
        <w:rPr>
          <w:rFonts w:hint="eastAsia" w:ascii="宋体" w:hAnsi="宋体" w:cs="宋体"/>
          <w:b/>
          <w:bCs/>
          <w:kern w:val="2"/>
          <w:sz w:val="24"/>
          <w:szCs w:val="24"/>
          <w:lang w:val="en-US" w:eastAsia="zh-CN" w:bidi="ar-SA"/>
        </w:rPr>
        <w:t>情况</w:t>
      </w:r>
      <w:bookmarkEnd w:id="10"/>
    </w:p>
    <w:p>
      <w:pPr>
        <w:keepNext w:val="0"/>
        <w:keepLines w:val="0"/>
        <w:pageBreakBefore w:val="0"/>
        <w:widowControl w:val="0"/>
        <w:tabs>
          <w:tab w:val="left" w:pos="1266"/>
          <w:tab w:val="center" w:pos="4596"/>
        </w:tabs>
        <w:kinsoku/>
        <w:wordWrap/>
        <w:overflowPunct/>
        <w:topLinePunct w:val="0"/>
        <w:autoSpaceDE/>
        <w:autoSpaceDN/>
        <w:bidi w:val="0"/>
        <w:adjustRightInd w:val="0"/>
        <w:snapToGrid w:val="0"/>
        <w:spacing w:line="312" w:lineRule="auto"/>
        <w:jc w:val="center"/>
        <w:textAlignment w:val="auto"/>
        <w:rPr>
          <w:rFonts w:hint="eastAsia" w:ascii="黑体" w:hAnsi="黑体" w:eastAsia="黑体" w:cs="仿宋"/>
          <w:color w:val="auto"/>
          <w:kern w:val="0"/>
          <w:sz w:val="24"/>
          <w:szCs w:val="24"/>
          <w:lang w:val="en-US" w:eastAsia="zh-CN"/>
        </w:rPr>
      </w:pPr>
      <w:r>
        <w:rPr>
          <w:rFonts w:hint="eastAsia" w:ascii="黑体" w:hAnsi="黑体" w:eastAsia="黑体" w:cs="仿宋"/>
          <w:color w:val="auto"/>
          <w:kern w:val="0"/>
          <w:sz w:val="24"/>
          <w:szCs w:val="24"/>
        </w:rPr>
        <w:t>表</w:t>
      </w:r>
      <w:r>
        <w:rPr>
          <w:rFonts w:hint="eastAsia" w:ascii="黑体" w:hAnsi="黑体" w:eastAsia="黑体" w:cs="仿宋"/>
          <w:color w:val="auto"/>
          <w:kern w:val="0"/>
          <w:sz w:val="24"/>
          <w:szCs w:val="24"/>
          <w:lang w:val="en-US" w:eastAsia="zh-CN"/>
        </w:rPr>
        <w:t xml:space="preserve">4  </w:t>
      </w:r>
      <w:r>
        <w:rPr>
          <w:rFonts w:hint="eastAsia" w:ascii="黑体" w:hAnsi="黑体" w:eastAsia="黑体" w:cs="仿宋"/>
          <w:color w:val="auto"/>
          <w:kern w:val="0"/>
          <w:sz w:val="24"/>
          <w:szCs w:val="24"/>
        </w:rPr>
        <w:t>预安排及故障停电</w:t>
      </w:r>
      <w:r>
        <w:rPr>
          <w:rFonts w:hint="eastAsia" w:ascii="黑体" w:hAnsi="黑体" w:eastAsia="黑体" w:cs="仿宋"/>
          <w:color w:val="auto"/>
          <w:kern w:val="0"/>
          <w:sz w:val="24"/>
          <w:szCs w:val="24"/>
          <w:lang w:val="en-US" w:eastAsia="zh-CN"/>
        </w:rPr>
        <w:t>指标</w:t>
      </w:r>
    </w:p>
    <w:p>
      <w:pPr>
        <w:pageBreakBefore w:val="0"/>
        <w:kinsoku/>
        <w:wordWrap/>
        <w:overflowPunct/>
        <w:topLinePunct w:val="0"/>
        <w:bidi w:val="0"/>
        <w:snapToGrid w:val="0"/>
        <w:spacing w:line="360" w:lineRule="auto"/>
        <w:jc w:val="right"/>
        <w:rPr>
          <w:rFonts w:hint="eastAsia"/>
          <w:lang w:val="en-US" w:eastAsia="zh-CN"/>
        </w:rPr>
      </w:pPr>
      <w:r>
        <w:rPr>
          <w:rFonts w:hint="eastAsia" w:ascii="宋体" w:hAnsi="宋体" w:eastAsia="宋体" w:cs="宋体"/>
          <w:i w:val="0"/>
          <w:color w:val="000000"/>
          <w:kern w:val="0"/>
          <w:sz w:val="20"/>
          <w:szCs w:val="20"/>
          <w:u w:val="none"/>
          <w:lang w:val="en-US" w:eastAsia="zh-CN" w:bidi="ar"/>
        </w:rPr>
        <w:t>单位：h/户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2"/>
          <w:sz w:val="20"/>
          <w:szCs w:val="20"/>
          <w:highlight w:val="none"/>
          <w:u w:val="none"/>
          <w:lang w:val="en-US" w:eastAsia="zh-CN" w:bidi="ar-SA"/>
        </w:rPr>
        <w:t>次</w:t>
      </w:r>
      <w:r>
        <w:rPr>
          <w:rFonts w:hint="eastAsia" w:ascii="宋体" w:hAnsi="宋体" w:eastAsia="宋体" w:cs="宋体"/>
          <w:i w:val="0"/>
          <w:color w:val="000000"/>
          <w:kern w:val="0"/>
          <w:sz w:val="20"/>
          <w:szCs w:val="20"/>
          <w:highlight w:val="none"/>
          <w:u w:val="none"/>
          <w:lang w:val="en-US" w:eastAsia="zh-CN" w:bidi="ar"/>
        </w:rPr>
        <w:t>/户</w:t>
      </w:r>
    </w:p>
    <w:tbl>
      <w:tblPr>
        <w:tblStyle w:val="29"/>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314"/>
        <w:gridCol w:w="1123"/>
        <w:gridCol w:w="822"/>
        <w:gridCol w:w="1103"/>
        <w:gridCol w:w="856"/>
        <w:gridCol w:w="1125"/>
        <w:gridCol w:w="822"/>
        <w:gridCol w:w="1127"/>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blHeader/>
        </w:trPr>
        <w:tc>
          <w:tcPr>
            <w:tcW w:w="1314" w:type="dxa"/>
            <w:vMerge w:val="restart"/>
            <w:vAlign w:val="center"/>
          </w:tcPr>
          <w:p>
            <w:pPr>
              <w:widowControl/>
              <w:jc w:val="center"/>
              <w:rPr>
                <w:rFonts w:hint="eastAsia" w:ascii="宋体" w:hAnsi="宋体" w:cs="宋体"/>
                <w:kern w:val="0"/>
                <w:sz w:val="21"/>
                <w:szCs w:val="21"/>
                <w:highlight w:val="none"/>
              </w:rPr>
            </w:pPr>
            <w:r>
              <w:rPr>
                <w:rFonts w:hint="eastAsia" w:ascii="宋体" w:hAnsi="宋体" w:cs="宋体"/>
                <w:kern w:val="0"/>
                <w:sz w:val="21"/>
                <w:szCs w:val="21"/>
                <w:highlight w:val="none"/>
              </w:rPr>
              <w:t>单位名称</w:t>
            </w:r>
          </w:p>
        </w:tc>
        <w:tc>
          <w:tcPr>
            <w:tcW w:w="3904" w:type="dxa"/>
            <w:gridSpan w:val="4"/>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kern w:val="0"/>
                <w:sz w:val="21"/>
                <w:szCs w:val="21"/>
                <w:highlight w:val="none"/>
              </w:rPr>
              <w:t>预安排</w:t>
            </w:r>
          </w:p>
        </w:tc>
        <w:tc>
          <w:tcPr>
            <w:tcW w:w="3909" w:type="dxa"/>
            <w:gridSpan w:val="4"/>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blHeader/>
        </w:trPr>
        <w:tc>
          <w:tcPr>
            <w:tcW w:w="1314" w:type="dxa"/>
            <w:vMerge w:val="continue"/>
            <w:vAlign w:val="center"/>
          </w:tcPr>
          <w:p>
            <w:pPr>
              <w:widowControl/>
              <w:jc w:val="center"/>
              <w:rPr>
                <w:rFonts w:hint="eastAsia" w:ascii="宋体" w:hAnsi="宋体" w:cs="宋体"/>
                <w:kern w:val="0"/>
                <w:sz w:val="21"/>
                <w:szCs w:val="21"/>
                <w:highlight w:val="none"/>
              </w:rPr>
            </w:pPr>
          </w:p>
        </w:tc>
        <w:tc>
          <w:tcPr>
            <w:tcW w:w="1123" w:type="dxa"/>
            <w:vAlign w:val="center"/>
          </w:tcPr>
          <w:p>
            <w:pPr>
              <w:widowControl/>
              <w:jc w:val="center"/>
              <w:rPr>
                <w:rFonts w:hint="eastAsia" w:ascii="宋体" w:hAnsi="宋体" w:cs="宋体"/>
                <w:kern w:val="0"/>
                <w:sz w:val="21"/>
                <w:szCs w:val="21"/>
                <w:highlight w:val="none"/>
              </w:rPr>
            </w:pPr>
            <w:r>
              <w:rPr>
                <w:rFonts w:hint="eastAsia" w:ascii="宋体" w:hAnsi="宋体" w:cs="宋体"/>
                <w:kern w:val="0"/>
                <w:sz w:val="21"/>
                <w:szCs w:val="21"/>
                <w:highlight w:val="none"/>
                <w:lang w:eastAsia="zh-CN"/>
              </w:rPr>
              <w:t>平均</w:t>
            </w:r>
            <w:r>
              <w:rPr>
                <w:rFonts w:hint="eastAsia" w:ascii="宋体" w:hAnsi="宋体" w:cs="宋体"/>
                <w:kern w:val="0"/>
                <w:sz w:val="21"/>
                <w:szCs w:val="21"/>
                <w:highlight w:val="none"/>
              </w:rPr>
              <w:t>停电</w:t>
            </w:r>
          </w:p>
          <w:p>
            <w:pPr>
              <w:widowControl/>
              <w:jc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cs="宋体"/>
                <w:kern w:val="0"/>
                <w:sz w:val="21"/>
                <w:szCs w:val="21"/>
                <w:highlight w:val="none"/>
              </w:rPr>
              <w:t>时间</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时间</w:t>
            </w:r>
          </w:p>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占比</w:t>
            </w:r>
          </w:p>
        </w:tc>
        <w:tc>
          <w:tcPr>
            <w:tcW w:w="1103" w:type="dxa"/>
            <w:vAlign w:val="center"/>
          </w:tcPr>
          <w:p>
            <w:pPr>
              <w:widowControl/>
              <w:jc w:val="center"/>
              <w:rPr>
                <w:rFonts w:hint="default" w:ascii="Times New Roman" w:hAnsi="Times New Roman" w:eastAsia="宋体" w:cs="Times New Roman"/>
                <w:kern w:val="2"/>
                <w:sz w:val="21"/>
                <w:szCs w:val="21"/>
                <w:highlight w:val="none"/>
                <w:lang w:val="en-US" w:eastAsia="zh-CN" w:bidi="ar-SA"/>
              </w:rPr>
            </w:pPr>
            <w:r>
              <w:rPr>
                <w:rFonts w:hint="eastAsia" w:ascii="宋体" w:hAnsi="宋体" w:cs="宋体"/>
                <w:kern w:val="0"/>
                <w:sz w:val="21"/>
                <w:szCs w:val="21"/>
                <w:highlight w:val="none"/>
                <w:lang w:eastAsia="zh-CN"/>
              </w:rPr>
              <w:t>平均停电频率</w:t>
            </w:r>
          </w:p>
        </w:tc>
        <w:tc>
          <w:tcPr>
            <w:tcW w:w="856" w:type="dxa"/>
            <w:vAlign w:val="center"/>
          </w:tcPr>
          <w:p>
            <w:pPr>
              <w:widowControl/>
              <w:jc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频率</w:t>
            </w:r>
          </w:p>
          <w:p>
            <w:pPr>
              <w:widowControl/>
              <w:jc w:val="center"/>
              <w:rPr>
                <w:rFonts w:hint="default" w:ascii="Times New Roman" w:hAnsi="Times New Roman" w:eastAsia="宋体" w:cs="Times New Roman"/>
                <w:kern w:val="2"/>
                <w:sz w:val="21"/>
                <w:szCs w:val="21"/>
                <w:highlight w:val="none"/>
                <w:lang w:val="en-US" w:eastAsia="zh-CN" w:bidi="ar-SA"/>
              </w:rPr>
            </w:pPr>
            <w:r>
              <w:rPr>
                <w:rFonts w:hint="eastAsia" w:ascii="宋体" w:hAnsi="宋体" w:cs="宋体"/>
                <w:kern w:val="0"/>
                <w:sz w:val="21"/>
                <w:szCs w:val="21"/>
                <w:highlight w:val="none"/>
                <w:lang w:val="en-US" w:eastAsia="zh-CN"/>
              </w:rPr>
              <w:t>占比</w:t>
            </w:r>
          </w:p>
        </w:tc>
        <w:tc>
          <w:tcPr>
            <w:tcW w:w="1125" w:type="dxa"/>
            <w:vAlign w:val="center"/>
          </w:tcPr>
          <w:p>
            <w:pPr>
              <w:widowControl/>
              <w:jc w:val="center"/>
              <w:rPr>
                <w:rFonts w:hint="eastAsia" w:ascii="宋体" w:hAnsi="宋体" w:cs="宋体"/>
                <w:kern w:val="0"/>
                <w:sz w:val="21"/>
                <w:szCs w:val="21"/>
                <w:highlight w:val="none"/>
              </w:rPr>
            </w:pPr>
            <w:r>
              <w:rPr>
                <w:rFonts w:hint="eastAsia" w:ascii="宋体" w:hAnsi="宋体" w:cs="宋体"/>
                <w:kern w:val="0"/>
                <w:sz w:val="21"/>
                <w:szCs w:val="21"/>
                <w:highlight w:val="none"/>
                <w:lang w:eastAsia="zh-CN"/>
              </w:rPr>
              <w:t>平均</w:t>
            </w:r>
            <w:r>
              <w:rPr>
                <w:rFonts w:hint="eastAsia" w:ascii="宋体" w:hAnsi="宋体" w:cs="宋体"/>
                <w:kern w:val="0"/>
                <w:sz w:val="21"/>
                <w:szCs w:val="21"/>
                <w:highlight w:val="none"/>
              </w:rPr>
              <w:t>停电</w:t>
            </w:r>
          </w:p>
          <w:p>
            <w:pPr>
              <w:widowControl/>
              <w:jc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cs="宋体"/>
                <w:kern w:val="0"/>
                <w:sz w:val="21"/>
                <w:szCs w:val="21"/>
                <w:highlight w:val="none"/>
              </w:rPr>
              <w:t>时间</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时间</w:t>
            </w:r>
          </w:p>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占比</w:t>
            </w:r>
          </w:p>
        </w:tc>
        <w:tc>
          <w:tcPr>
            <w:tcW w:w="1127" w:type="dxa"/>
            <w:vAlign w:val="center"/>
          </w:tcPr>
          <w:p>
            <w:pPr>
              <w:widowControl/>
              <w:jc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cs="宋体"/>
                <w:kern w:val="0"/>
                <w:sz w:val="21"/>
                <w:szCs w:val="21"/>
                <w:highlight w:val="none"/>
                <w:lang w:eastAsia="zh-CN"/>
              </w:rPr>
              <w:t>平均停电频率</w:t>
            </w:r>
          </w:p>
        </w:tc>
        <w:tc>
          <w:tcPr>
            <w:tcW w:w="835" w:type="dxa"/>
            <w:vAlign w:val="center"/>
          </w:tcPr>
          <w:p>
            <w:pPr>
              <w:widowControl/>
              <w:jc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频率</w:t>
            </w:r>
          </w:p>
          <w:p>
            <w:pPr>
              <w:widowControl/>
              <w:jc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cs="宋体"/>
                <w:kern w:val="0"/>
                <w:sz w:val="21"/>
                <w:szCs w:val="21"/>
                <w:highlight w:val="none"/>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包头供电公司</w:t>
            </w:r>
          </w:p>
        </w:tc>
        <w:tc>
          <w:tcPr>
            <w:tcW w:w="112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1.17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0.74 </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0.23 </w:t>
            </w:r>
          </w:p>
        </w:tc>
        <w:tc>
          <w:tcPr>
            <w:tcW w:w="856"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0.51 </w:t>
            </w:r>
          </w:p>
        </w:tc>
        <w:tc>
          <w:tcPr>
            <w:tcW w:w="112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0.40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0.26 </w:t>
            </w:r>
          </w:p>
        </w:tc>
        <w:tc>
          <w:tcPr>
            <w:tcW w:w="1127"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0.23 </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包头供电公司东河供电分公司</w:t>
            </w:r>
          </w:p>
        </w:tc>
        <w:tc>
          <w:tcPr>
            <w:tcW w:w="112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1.02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0.76 </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0.16 </w:t>
            </w:r>
          </w:p>
        </w:tc>
        <w:tc>
          <w:tcPr>
            <w:tcW w:w="856"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0.47 </w:t>
            </w:r>
          </w:p>
        </w:tc>
        <w:tc>
          <w:tcPr>
            <w:tcW w:w="112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0.32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0.24 </w:t>
            </w:r>
          </w:p>
        </w:tc>
        <w:tc>
          <w:tcPr>
            <w:tcW w:w="1127"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0.18 </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包头供电公司青山供电分公司</w:t>
            </w:r>
          </w:p>
        </w:tc>
        <w:tc>
          <w:tcPr>
            <w:tcW w:w="112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0.50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0.66 </w:t>
            </w:r>
          </w:p>
        </w:tc>
        <w:tc>
          <w:tcPr>
            <w:tcW w:w="110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0.07 </w:t>
            </w:r>
          </w:p>
        </w:tc>
        <w:tc>
          <w:tcPr>
            <w:tcW w:w="85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0.39 </w:t>
            </w:r>
          </w:p>
        </w:tc>
        <w:tc>
          <w:tcPr>
            <w:tcW w:w="112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0.26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0.34 </w:t>
            </w:r>
          </w:p>
        </w:tc>
        <w:tc>
          <w:tcPr>
            <w:tcW w:w="1127"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0.11 </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包头供电公司昆区供电分公司</w:t>
            </w:r>
          </w:p>
        </w:tc>
        <w:tc>
          <w:tcPr>
            <w:tcW w:w="112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0.34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0.71 </w:t>
            </w:r>
          </w:p>
        </w:tc>
        <w:tc>
          <w:tcPr>
            <w:tcW w:w="110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0.05 </w:t>
            </w:r>
          </w:p>
        </w:tc>
        <w:tc>
          <w:tcPr>
            <w:tcW w:w="85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0.39 </w:t>
            </w:r>
          </w:p>
        </w:tc>
        <w:tc>
          <w:tcPr>
            <w:tcW w:w="112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0.14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0.29 </w:t>
            </w:r>
          </w:p>
        </w:tc>
        <w:tc>
          <w:tcPr>
            <w:tcW w:w="1127"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0.08 </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包头供电公司白云供电分公司</w:t>
            </w:r>
          </w:p>
        </w:tc>
        <w:tc>
          <w:tcPr>
            <w:tcW w:w="112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5.52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0.99 </w:t>
            </w:r>
          </w:p>
        </w:tc>
        <w:tc>
          <w:tcPr>
            <w:tcW w:w="110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0.71 </w:t>
            </w:r>
          </w:p>
        </w:tc>
        <w:tc>
          <w:tcPr>
            <w:tcW w:w="85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0.75 </w:t>
            </w:r>
          </w:p>
        </w:tc>
        <w:tc>
          <w:tcPr>
            <w:tcW w:w="112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0.06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0.01 </w:t>
            </w:r>
          </w:p>
        </w:tc>
        <w:tc>
          <w:tcPr>
            <w:tcW w:w="1127"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0.24 </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包头供电公司石拐供电分公司</w:t>
            </w:r>
          </w:p>
        </w:tc>
        <w:tc>
          <w:tcPr>
            <w:tcW w:w="112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2.45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110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0.41 </w:t>
            </w:r>
          </w:p>
        </w:tc>
        <w:tc>
          <w:tcPr>
            <w:tcW w:w="85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0.97 </w:t>
            </w:r>
          </w:p>
        </w:tc>
        <w:tc>
          <w:tcPr>
            <w:tcW w:w="112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0.01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27"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0.01 </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包头供电公司高新供电分公司</w:t>
            </w:r>
          </w:p>
        </w:tc>
        <w:tc>
          <w:tcPr>
            <w:tcW w:w="112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1.14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0.74 </w:t>
            </w:r>
          </w:p>
        </w:tc>
        <w:tc>
          <w:tcPr>
            <w:tcW w:w="110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0.12 </w:t>
            </w:r>
          </w:p>
        </w:tc>
        <w:tc>
          <w:tcPr>
            <w:tcW w:w="85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0.33 </w:t>
            </w:r>
          </w:p>
        </w:tc>
        <w:tc>
          <w:tcPr>
            <w:tcW w:w="112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0.40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0.26 </w:t>
            </w:r>
          </w:p>
        </w:tc>
        <w:tc>
          <w:tcPr>
            <w:tcW w:w="1127"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0.24 </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包头供电公司新都市区供电分公司</w:t>
            </w:r>
          </w:p>
        </w:tc>
        <w:tc>
          <w:tcPr>
            <w:tcW w:w="112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0.37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0.69 </w:t>
            </w:r>
          </w:p>
        </w:tc>
        <w:tc>
          <w:tcPr>
            <w:tcW w:w="110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0.05 </w:t>
            </w:r>
          </w:p>
        </w:tc>
        <w:tc>
          <w:tcPr>
            <w:tcW w:w="85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0.33 </w:t>
            </w:r>
          </w:p>
        </w:tc>
        <w:tc>
          <w:tcPr>
            <w:tcW w:w="112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0.16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0.31 </w:t>
            </w:r>
          </w:p>
        </w:tc>
        <w:tc>
          <w:tcPr>
            <w:tcW w:w="1127"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0.10 </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包头供电公司九原供电分公司</w:t>
            </w:r>
          </w:p>
        </w:tc>
        <w:tc>
          <w:tcPr>
            <w:tcW w:w="112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0.73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0.60 </w:t>
            </w:r>
          </w:p>
        </w:tc>
        <w:tc>
          <w:tcPr>
            <w:tcW w:w="110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0.25 </w:t>
            </w:r>
          </w:p>
        </w:tc>
        <w:tc>
          <w:tcPr>
            <w:tcW w:w="85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0.55 </w:t>
            </w:r>
          </w:p>
        </w:tc>
        <w:tc>
          <w:tcPr>
            <w:tcW w:w="112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0.48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0.40 </w:t>
            </w:r>
          </w:p>
        </w:tc>
        <w:tc>
          <w:tcPr>
            <w:tcW w:w="1127"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0.20 </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包头供电公司土右供电分公司</w:t>
            </w:r>
          </w:p>
        </w:tc>
        <w:tc>
          <w:tcPr>
            <w:tcW w:w="112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0.72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0.69 </w:t>
            </w:r>
          </w:p>
        </w:tc>
        <w:tc>
          <w:tcPr>
            <w:tcW w:w="110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0.13 </w:t>
            </w:r>
          </w:p>
        </w:tc>
        <w:tc>
          <w:tcPr>
            <w:tcW w:w="85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0.48 </w:t>
            </w:r>
          </w:p>
        </w:tc>
        <w:tc>
          <w:tcPr>
            <w:tcW w:w="112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0.32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0.31 </w:t>
            </w:r>
          </w:p>
        </w:tc>
        <w:tc>
          <w:tcPr>
            <w:tcW w:w="1127"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0.15 </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包头供电公司固阳供电分公司</w:t>
            </w:r>
          </w:p>
        </w:tc>
        <w:tc>
          <w:tcPr>
            <w:tcW w:w="112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1.81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0.79 </w:t>
            </w:r>
          </w:p>
        </w:tc>
        <w:tc>
          <w:tcPr>
            <w:tcW w:w="110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0.19 </w:t>
            </w:r>
          </w:p>
        </w:tc>
        <w:tc>
          <w:tcPr>
            <w:tcW w:w="85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0.58 </w:t>
            </w:r>
          </w:p>
        </w:tc>
        <w:tc>
          <w:tcPr>
            <w:tcW w:w="112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0.49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0.21 </w:t>
            </w:r>
          </w:p>
        </w:tc>
        <w:tc>
          <w:tcPr>
            <w:tcW w:w="1127"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0.14 </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包头供电公司达茂供电分公司</w:t>
            </w:r>
          </w:p>
        </w:tc>
        <w:tc>
          <w:tcPr>
            <w:tcW w:w="112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1.91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0.71 </w:t>
            </w:r>
          </w:p>
        </w:tc>
        <w:tc>
          <w:tcPr>
            <w:tcW w:w="1103"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0.58 </w:t>
            </w:r>
          </w:p>
        </w:tc>
        <w:tc>
          <w:tcPr>
            <w:tcW w:w="85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0.47 </w:t>
            </w:r>
          </w:p>
        </w:tc>
        <w:tc>
          <w:tcPr>
            <w:tcW w:w="112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0.79 </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0.29 </w:t>
            </w:r>
          </w:p>
        </w:tc>
        <w:tc>
          <w:tcPr>
            <w:tcW w:w="1127"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0.65 </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0.53 </w:t>
            </w:r>
          </w:p>
        </w:tc>
      </w:tr>
    </w:tbl>
    <w:p>
      <w:pPr>
        <w:pStyle w:val="4"/>
        <w:keepNext/>
        <w:keepLines/>
        <w:pageBreakBefore w:val="0"/>
        <w:widowControl w:val="0"/>
        <w:numPr>
          <w:ilvl w:val="1"/>
          <w:numId w:val="4"/>
        </w:numPr>
        <w:kinsoku/>
        <w:wordWrap/>
        <w:overflowPunct/>
        <w:topLinePunct w:val="0"/>
        <w:autoSpaceDE/>
        <w:autoSpaceDN/>
        <w:bidi w:val="0"/>
        <w:adjustRightInd/>
        <w:snapToGrid/>
        <w:spacing w:before="0" w:after="0" w:line="312" w:lineRule="auto"/>
        <w:ind w:left="0" w:leftChars="0" w:firstLine="0" w:firstLineChars="0"/>
        <w:jc w:val="both"/>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 xml:space="preserve"> </w:t>
      </w:r>
      <w:bookmarkStart w:id="11" w:name="_Toc25637"/>
      <w:bookmarkStart w:id="12" w:name="_Toc803"/>
      <w:r>
        <w:rPr>
          <w:rFonts w:hint="eastAsia" w:ascii="宋体" w:hAnsi="宋体" w:eastAsia="宋体" w:cs="宋体"/>
          <w:b/>
          <w:bCs/>
          <w:kern w:val="2"/>
          <w:sz w:val="24"/>
          <w:szCs w:val="24"/>
          <w:lang w:val="en-US" w:eastAsia="zh-CN" w:bidi="ar-SA"/>
        </w:rPr>
        <w:t>预安排停电责任原因分析</w:t>
      </w:r>
      <w:bookmarkEnd w:id="11"/>
      <w:bookmarkEnd w:id="12"/>
    </w:p>
    <w:p>
      <w:pPr>
        <w:pStyle w:val="5"/>
        <w:keepNext/>
        <w:keepLines/>
        <w:pageBreakBefore w:val="0"/>
        <w:widowControl w:val="0"/>
        <w:numPr>
          <w:ilvl w:val="2"/>
          <w:numId w:val="4"/>
        </w:numPr>
        <w:kinsoku/>
        <w:wordWrap/>
        <w:overflowPunct/>
        <w:topLinePunct w:val="0"/>
        <w:autoSpaceDE/>
        <w:autoSpaceDN/>
        <w:bidi w:val="0"/>
        <w:adjustRightInd w:val="0"/>
        <w:snapToGrid w:val="0"/>
        <w:spacing w:before="0" w:after="0" w:line="312" w:lineRule="auto"/>
        <w:ind w:left="0" w:leftChars="0" w:firstLine="0" w:firstLineChars="0"/>
        <w:jc w:val="both"/>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 </w:t>
      </w:r>
      <w:bookmarkStart w:id="13" w:name="_Toc31559"/>
      <w:r>
        <w:rPr>
          <w:rFonts w:hint="eastAsia" w:ascii="Times New Roman" w:hAnsi="Times New Roman" w:eastAsia="宋体" w:cs="Times New Roman"/>
          <w:b w:val="0"/>
          <w:bCs w:val="0"/>
          <w:color w:val="auto"/>
          <w:kern w:val="2"/>
          <w:sz w:val="24"/>
          <w:szCs w:val="24"/>
          <w:lang w:val="en-US" w:eastAsia="zh-CN" w:bidi="ar-SA"/>
        </w:rPr>
        <w:t>预安排停电指标</w:t>
      </w:r>
      <w:bookmarkEnd w:id="13"/>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eastAsia" w:ascii="黑体" w:hAnsi="黑体" w:eastAsia="黑体" w:cs="仿宋"/>
          <w:color w:val="auto"/>
          <w:kern w:val="0"/>
          <w:sz w:val="24"/>
          <w:szCs w:val="24"/>
        </w:rPr>
      </w:pPr>
      <w:r>
        <w:rPr>
          <w:rFonts w:hint="eastAsia" w:ascii="黑体" w:hAnsi="黑体" w:eastAsia="黑体" w:cs="仿宋"/>
          <w:color w:val="auto"/>
          <w:kern w:val="0"/>
          <w:sz w:val="24"/>
          <w:szCs w:val="24"/>
        </w:rPr>
        <w:t>表</w:t>
      </w:r>
      <w:r>
        <w:rPr>
          <w:rFonts w:hint="eastAsia" w:ascii="黑体" w:hAnsi="黑体" w:eastAsia="黑体" w:cs="仿宋"/>
          <w:color w:val="auto"/>
          <w:kern w:val="0"/>
          <w:sz w:val="24"/>
          <w:szCs w:val="24"/>
          <w:lang w:val="en-US" w:eastAsia="zh-CN"/>
        </w:rPr>
        <w:t>5  用户预安排</w:t>
      </w:r>
      <w:r>
        <w:rPr>
          <w:rFonts w:hint="eastAsia" w:ascii="黑体" w:hAnsi="黑体" w:eastAsia="黑体" w:cs="仿宋"/>
          <w:color w:val="auto"/>
          <w:kern w:val="0"/>
          <w:sz w:val="24"/>
          <w:szCs w:val="24"/>
        </w:rPr>
        <w:t>停电</w:t>
      </w:r>
      <w:r>
        <w:rPr>
          <w:rFonts w:hint="eastAsia" w:ascii="黑体" w:hAnsi="黑体" w:eastAsia="黑体" w:cs="仿宋"/>
          <w:color w:val="auto"/>
          <w:kern w:val="0"/>
          <w:sz w:val="24"/>
          <w:szCs w:val="24"/>
          <w:lang w:val="en-US" w:eastAsia="zh-CN"/>
        </w:rPr>
        <w:t>指标</w:t>
      </w:r>
      <w:r>
        <w:rPr>
          <w:rFonts w:hint="eastAsia" w:ascii="黑体" w:hAnsi="黑体" w:eastAsia="黑体" w:cs="仿宋"/>
          <w:color w:val="auto"/>
          <w:kern w:val="0"/>
          <w:sz w:val="24"/>
          <w:szCs w:val="24"/>
        </w:rPr>
        <w:t>情况</w:t>
      </w:r>
    </w:p>
    <w:p>
      <w:pPr>
        <w:widowControl/>
        <w:jc w:val="right"/>
        <w:rPr>
          <w:rFonts w:hint="eastAsia"/>
          <w:lang w:val="en-US" w:eastAsia="zh-CN"/>
        </w:rPr>
      </w:pPr>
      <w:r>
        <w:rPr>
          <w:rFonts w:hint="eastAsia" w:ascii="宋体" w:hAnsi="宋体" w:eastAsia="宋体" w:cs="宋体"/>
          <w:i w:val="0"/>
          <w:color w:val="000000"/>
          <w:kern w:val="0"/>
          <w:sz w:val="20"/>
          <w:szCs w:val="20"/>
          <w:u w:val="none"/>
          <w:lang w:val="en-US" w:eastAsia="zh-CN" w:bidi="ar"/>
        </w:rPr>
        <w:t>单位：h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w:t>
      </w:r>
      <w:r>
        <w:rPr>
          <w:rFonts w:hint="eastAsia" w:ascii="宋体" w:hAnsi="宋体" w:cs="宋体"/>
          <w:color w:val="auto"/>
          <w:kern w:val="0"/>
          <w:lang w:val="en-US" w:eastAsia="zh-CN"/>
        </w:rPr>
        <w:t>次/户、h/次、户/次</w:t>
      </w:r>
    </w:p>
    <w:tbl>
      <w:tblPr>
        <w:tblStyle w:val="29"/>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983"/>
        <w:gridCol w:w="1056"/>
        <w:gridCol w:w="1071"/>
        <w:gridCol w:w="1056"/>
        <w:gridCol w:w="1057"/>
        <w:gridCol w:w="1056"/>
        <w:gridCol w:w="1050"/>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pPr>
              <w:widowControl/>
              <w:jc w:val="center"/>
              <w:rPr>
                <w:rFonts w:hint="eastAsia" w:ascii="宋体" w:hAnsi="宋体" w:cs="宋体"/>
                <w:color w:val="auto"/>
                <w:kern w:val="0"/>
              </w:rPr>
            </w:pPr>
            <w:r>
              <w:rPr>
                <w:rFonts w:hint="eastAsia" w:ascii="宋体" w:hAnsi="宋体" w:cs="宋体"/>
                <w:color w:val="auto"/>
                <w:kern w:val="0"/>
              </w:rPr>
              <w:t>单位</w:t>
            </w:r>
          </w:p>
        </w:tc>
        <w:tc>
          <w:tcPr>
            <w:tcW w:w="983" w:type="dxa"/>
            <w:vAlign w:val="center"/>
          </w:tcPr>
          <w:p>
            <w:pPr>
              <w:widowControl/>
              <w:jc w:val="center"/>
              <w:rPr>
                <w:rFonts w:hint="default" w:ascii="宋体" w:hAnsi="宋体" w:cs="宋体"/>
                <w:color w:val="auto"/>
                <w:kern w:val="0"/>
                <w:lang w:val="en-US"/>
              </w:rPr>
            </w:pPr>
            <w:r>
              <w:rPr>
                <w:rFonts w:hint="eastAsia" w:ascii="宋体" w:hAnsi="宋体" w:cs="宋体"/>
                <w:color w:val="auto"/>
                <w:kern w:val="0"/>
              </w:rPr>
              <w:t>平均停电时间</w:t>
            </w:r>
          </w:p>
        </w:tc>
        <w:tc>
          <w:tcPr>
            <w:tcW w:w="1056" w:type="dxa"/>
            <w:vAlign w:val="center"/>
          </w:tcPr>
          <w:p>
            <w:pPr>
              <w:widowControl/>
              <w:jc w:val="center"/>
              <w:rPr>
                <w:rFonts w:hint="default" w:ascii="宋体" w:hAnsi="宋体" w:cs="宋体"/>
                <w:color w:val="auto"/>
                <w:kern w:val="0"/>
                <w:lang w:val="en-US"/>
              </w:rPr>
            </w:pPr>
            <w:r>
              <w:rPr>
                <w:rFonts w:hint="eastAsia" w:ascii="宋体" w:hAnsi="宋体" w:cs="宋体"/>
                <w:color w:val="auto"/>
                <w:kern w:val="0"/>
                <w:lang w:eastAsia="zh-CN"/>
              </w:rPr>
              <w:t>降幅</w:t>
            </w:r>
          </w:p>
        </w:tc>
        <w:tc>
          <w:tcPr>
            <w:tcW w:w="1071" w:type="dxa"/>
            <w:vAlign w:val="center"/>
          </w:tcPr>
          <w:p>
            <w:pPr>
              <w:widowControl/>
              <w:jc w:val="center"/>
              <w:rPr>
                <w:rFonts w:hint="eastAsia" w:ascii="宋体" w:hAnsi="宋体" w:cs="宋体"/>
                <w:color w:val="auto"/>
                <w:kern w:val="0"/>
                <w:lang w:val="en-US" w:eastAsia="zh-CN"/>
              </w:rPr>
            </w:pPr>
            <w:r>
              <w:rPr>
                <w:rFonts w:hint="eastAsia" w:ascii="宋体" w:hAnsi="宋体" w:cs="宋体"/>
                <w:color w:val="auto"/>
                <w:kern w:val="0"/>
              </w:rPr>
              <w:t>平均停电</w:t>
            </w:r>
            <w:r>
              <w:rPr>
                <w:rFonts w:hint="eastAsia" w:ascii="宋体" w:hAnsi="宋体" w:cs="宋体"/>
                <w:color w:val="auto"/>
                <w:kern w:val="0"/>
                <w:lang w:val="en-US" w:eastAsia="zh-CN"/>
              </w:rPr>
              <w:t>频率</w:t>
            </w:r>
          </w:p>
        </w:tc>
        <w:tc>
          <w:tcPr>
            <w:tcW w:w="1056" w:type="dxa"/>
            <w:vAlign w:val="center"/>
          </w:tcPr>
          <w:p>
            <w:pPr>
              <w:widowControl/>
              <w:jc w:val="center"/>
              <w:rPr>
                <w:rFonts w:hint="eastAsia" w:ascii="宋体" w:hAnsi="宋体" w:cs="宋体"/>
                <w:color w:val="auto"/>
                <w:kern w:val="0"/>
                <w:lang w:val="en-US" w:eastAsia="zh-CN"/>
              </w:rPr>
            </w:pPr>
            <w:r>
              <w:rPr>
                <w:rFonts w:hint="eastAsia" w:ascii="宋体" w:hAnsi="宋体" w:cs="宋体"/>
                <w:color w:val="auto"/>
                <w:kern w:val="0"/>
                <w:lang w:eastAsia="zh-CN"/>
              </w:rPr>
              <w:t>降幅</w:t>
            </w:r>
          </w:p>
        </w:tc>
        <w:tc>
          <w:tcPr>
            <w:tcW w:w="1057" w:type="dxa"/>
            <w:vAlign w:val="center"/>
          </w:tcPr>
          <w:p>
            <w:pPr>
              <w:widowControl/>
              <w:jc w:val="center"/>
              <w:rPr>
                <w:rFonts w:hint="eastAsia" w:ascii="宋体" w:hAnsi="宋体" w:cs="宋体"/>
                <w:color w:val="auto"/>
                <w:kern w:val="0"/>
                <w:lang w:val="en-US" w:eastAsia="zh-CN"/>
              </w:rPr>
            </w:pPr>
            <w:r>
              <w:rPr>
                <w:rFonts w:hint="eastAsia" w:ascii="宋体" w:hAnsi="宋体" w:cs="宋体"/>
                <w:color w:val="auto"/>
                <w:kern w:val="0"/>
                <w:lang w:val="en-US" w:eastAsia="zh-CN"/>
              </w:rPr>
              <w:t>平均</w:t>
            </w:r>
            <w:r>
              <w:rPr>
                <w:rFonts w:hint="eastAsia" w:ascii="宋体" w:hAnsi="宋体" w:cs="宋体"/>
                <w:color w:val="auto"/>
                <w:kern w:val="0"/>
              </w:rPr>
              <w:t>停电持续时间</w:t>
            </w:r>
          </w:p>
        </w:tc>
        <w:tc>
          <w:tcPr>
            <w:tcW w:w="1056" w:type="dxa"/>
            <w:vAlign w:val="center"/>
          </w:tcPr>
          <w:p>
            <w:pPr>
              <w:widowControl/>
              <w:jc w:val="center"/>
              <w:rPr>
                <w:rFonts w:hint="default" w:ascii="宋体" w:hAnsi="宋体" w:cs="宋体"/>
                <w:color w:val="auto"/>
                <w:kern w:val="0"/>
                <w:lang w:val="en-US" w:eastAsia="zh-CN"/>
              </w:rPr>
            </w:pPr>
            <w:r>
              <w:rPr>
                <w:rFonts w:hint="eastAsia" w:ascii="宋体" w:hAnsi="宋体" w:cs="宋体"/>
                <w:color w:val="auto"/>
                <w:kern w:val="0"/>
                <w:lang w:val="en-US" w:eastAsia="zh-CN"/>
              </w:rPr>
              <w:t>同比</w:t>
            </w:r>
          </w:p>
        </w:tc>
        <w:tc>
          <w:tcPr>
            <w:tcW w:w="1050" w:type="dxa"/>
            <w:vAlign w:val="center"/>
          </w:tcPr>
          <w:p>
            <w:pPr>
              <w:widowControl/>
              <w:jc w:val="center"/>
              <w:rPr>
                <w:rFonts w:hint="eastAsia" w:ascii="宋体" w:hAnsi="宋体" w:cs="宋体"/>
                <w:color w:val="auto"/>
                <w:kern w:val="0"/>
                <w:lang w:val="en-US" w:eastAsia="zh-CN"/>
              </w:rPr>
            </w:pPr>
            <w:r>
              <w:rPr>
                <w:rFonts w:hint="eastAsia" w:ascii="宋体" w:hAnsi="宋体" w:cs="宋体"/>
                <w:color w:val="auto"/>
                <w:kern w:val="0"/>
                <w:lang w:val="en-US" w:eastAsia="zh-CN"/>
              </w:rPr>
              <w:t>平均停电用户数</w:t>
            </w:r>
          </w:p>
        </w:tc>
        <w:tc>
          <w:tcPr>
            <w:tcW w:w="965" w:type="dxa"/>
            <w:vAlign w:val="center"/>
          </w:tcPr>
          <w:p>
            <w:pPr>
              <w:widowControl/>
              <w:jc w:val="center"/>
              <w:rPr>
                <w:rFonts w:hint="eastAsia" w:ascii="宋体" w:hAnsi="宋体" w:cs="宋体"/>
                <w:color w:val="auto"/>
                <w:kern w:val="0"/>
                <w:lang w:val="en-US" w:eastAsia="zh-CN"/>
              </w:rPr>
            </w:pPr>
            <w:r>
              <w:rPr>
                <w:rFonts w:hint="eastAsia" w:ascii="宋体" w:hAnsi="宋体" w:cs="宋体"/>
                <w:color w:val="auto"/>
                <w:kern w:val="0"/>
                <w:lang w:val="en-US" w:eastAsia="zh-CN"/>
              </w:rPr>
              <w:t>同比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eastAsia="宋体" w:cs="宋体"/>
                <w:kern w:val="0"/>
                <w:lang w:eastAsia="zh-CN"/>
              </w:rPr>
            </w:pPr>
            <w:r>
              <w:rPr>
                <w:rFonts w:hint="eastAsia" w:ascii="宋体" w:hAnsi="宋体" w:eastAsia="宋体" w:cs="宋体"/>
                <w:i w:val="0"/>
                <w:iCs w:val="0"/>
                <w:color w:val="000000"/>
                <w:kern w:val="0"/>
                <w:sz w:val="21"/>
                <w:szCs w:val="21"/>
                <w:u w:val="none"/>
                <w:lang w:val="en-US" w:eastAsia="zh-CN" w:bidi="ar"/>
              </w:rPr>
              <w:t>包头供电公司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1.1738</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-59.48%</w:t>
            </w:r>
          </w:p>
        </w:tc>
        <w:tc>
          <w:tcPr>
            <w:tcW w:w="1071"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0.2336</w:t>
            </w:r>
          </w:p>
        </w:tc>
        <w:tc>
          <w:tcPr>
            <w:tcW w:w="1056"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-22.47%</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5.9688</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-21.22%</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36.7062</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eastAsia="宋体" w:cs="宋体"/>
                <w:kern w:val="0"/>
                <w:lang w:eastAsia="zh-CN"/>
              </w:rPr>
            </w:pPr>
            <w:r>
              <w:rPr>
                <w:rFonts w:hint="eastAsia" w:ascii="宋体" w:hAnsi="宋体" w:eastAsia="宋体" w:cs="宋体"/>
                <w:i w:val="0"/>
                <w:iCs w:val="0"/>
                <w:color w:val="000000"/>
                <w:kern w:val="0"/>
                <w:sz w:val="21"/>
                <w:szCs w:val="21"/>
                <w:u w:val="none"/>
                <w:lang w:val="en-US" w:eastAsia="zh-CN" w:bidi="ar"/>
              </w:rPr>
              <w:t>包头供电公司东河供电分公司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1.0228</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-53.20%</w:t>
            </w:r>
          </w:p>
        </w:tc>
        <w:tc>
          <w:tcPr>
            <w:tcW w:w="1071"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0.158</w:t>
            </w:r>
          </w:p>
        </w:tc>
        <w:tc>
          <w:tcPr>
            <w:tcW w:w="1056"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-25.58%</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5.7107</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-11.88%</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14.96</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eastAsia="宋体" w:cs="宋体"/>
                <w:kern w:val="0"/>
                <w:lang w:eastAsia="zh-CN"/>
              </w:rPr>
            </w:pPr>
            <w:r>
              <w:rPr>
                <w:rFonts w:hint="eastAsia" w:ascii="宋体" w:hAnsi="宋体" w:eastAsia="宋体" w:cs="宋体"/>
                <w:i w:val="0"/>
                <w:iCs w:val="0"/>
                <w:color w:val="000000"/>
                <w:kern w:val="0"/>
                <w:sz w:val="21"/>
                <w:szCs w:val="21"/>
                <w:u w:val="none"/>
                <w:lang w:val="en-US" w:eastAsia="zh-CN" w:bidi="ar"/>
              </w:rPr>
              <w:t>包头供电公司青山供电分公司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0.4973</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-79.98%</w:t>
            </w:r>
          </w:p>
        </w:tc>
        <w:tc>
          <w:tcPr>
            <w:tcW w:w="1071"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0.0724</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-74.29%</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5.7538</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-10.09%</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6.3548</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包头供电公司昆区供电分公司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0.3445</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-63.90%</w:t>
            </w:r>
          </w:p>
        </w:tc>
        <w:tc>
          <w:tcPr>
            <w:tcW w:w="1071"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0.0499</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-58.35%</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5.2917</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-19.08%</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9.2857</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包头供电公司白云供电分公司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5.523</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438.62%</w:t>
            </w:r>
          </w:p>
        </w:tc>
        <w:tc>
          <w:tcPr>
            <w:tcW w:w="1071"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0.7128</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256.22%</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8.1278</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55.70%</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57</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2.17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包头供电公司石拐供电分公司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2.452</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-41.73%</w:t>
            </w:r>
          </w:p>
        </w:tc>
        <w:tc>
          <w:tcPr>
            <w:tcW w:w="1071"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0.4088</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-14.28%</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7.1227</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-17.58%</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36.3636</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包头供电公司高新供电分公司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1.1432</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182.34%</w:t>
            </w:r>
          </w:p>
        </w:tc>
        <w:tc>
          <w:tcPr>
            <w:tcW w:w="1071"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0.1207</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86.84%</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6.3917</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-6.92%</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7.6154</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包头供电公司新都市区供电分公司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0.3697</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-86.67%</w:t>
            </w:r>
          </w:p>
        </w:tc>
        <w:tc>
          <w:tcPr>
            <w:tcW w:w="1071"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0.0499</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-83.42%</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7.2333</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-8.62%</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4.6364</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包头供电公司九原供电分公司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0.7292</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-88.62%</w:t>
            </w:r>
          </w:p>
        </w:tc>
        <w:tc>
          <w:tcPr>
            <w:tcW w:w="1071"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0.2454</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-65.54%</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2.7917</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-68.21%</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79.7857</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包头供电公司土右供电分公司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0.7158</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194.93%</w:t>
            </w:r>
          </w:p>
        </w:tc>
        <w:tc>
          <w:tcPr>
            <w:tcW w:w="1071"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0.1322</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226.42%</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5.6711</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-7.60%</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29.8667</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包头供电公司固阳供电分公司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1.8141</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-73.76%</w:t>
            </w:r>
          </w:p>
        </w:tc>
        <w:tc>
          <w:tcPr>
            <w:tcW w:w="1071"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0.1941</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-66.02%</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8.4148</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-12.13%</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77.2222</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-0.06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包头供电公司达茂供电分公司</w:t>
            </w:r>
          </w:p>
        </w:tc>
        <w:tc>
          <w:tcPr>
            <w:tcW w:w="983"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1.9064</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211.30%</w:t>
            </w:r>
          </w:p>
        </w:tc>
        <w:tc>
          <w:tcPr>
            <w:tcW w:w="1071"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0.5757</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707.43%</w:t>
            </w:r>
          </w:p>
        </w:tc>
        <w:tc>
          <w:tcPr>
            <w:tcW w:w="1057"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5.9011</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-56.04%</w:t>
            </w:r>
          </w:p>
        </w:tc>
        <w:tc>
          <w:tcPr>
            <w:tcW w:w="1050"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169.6667</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 xml:space="preserve">4.60 </w:t>
            </w:r>
          </w:p>
        </w:tc>
      </w:tr>
    </w:tbl>
    <w:p>
      <w:pPr>
        <w:rPr>
          <w:rFonts w:hint="eastAsia"/>
          <w:lang w:val="en-US" w:eastAsia="zh-CN"/>
        </w:rPr>
      </w:pPr>
    </w:p>
    <w:p>
      <w:pPr>
        <w:pStyle w:val="5"/>
        <w:keepNext/>
        <w:keepLines/>
        <w:pageBreakBefore w:val="0"/>
        <w:widowControl w:val="0"/>
        <w:numPr>
          <w:ilvl w:val="2"/>
          <w:numId w:val="4"/>
        </w:numPr>
        <w:kinsoku/>
        <w:wordWrap/>
        <w:overflowPunct/>
        <w:topLinePunct w:val="0"/>
        <w:autoSpaceDE/>
        <w:autoSpaceDN/>
        <w:bidi w:val="0"/>
        <w:adjustRightInd w:val="0"/>
        <w:snapToGrid w:val="0"/>
        <w:spacing w:before="0" w:after="0" w:line="312" w:lineRule="auto"/>
        <w:ind w:left="0" w:leftChars="0" w:firstLine="0" w:firstLineChars="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 xml:space="preserve"> </w:t>
      </w:r>
      <w:bookmarkStart w:id="14" w:name="_Toc15524"/>
      <w:r>
        <w:rPr>
          <w:rFonts w:hint="eastAsia" w:ascii="Times New Roman" w:hAnsi="Times New Roman" w:eastAsia="宋体" w:cs="Times New Roman"/>
          <w:b w:val="0"/>
          <w:bCs w:val="0"/>
          <w:color w:val="auto"/>
          <w:kern w:val="2"/>
          <w:sz w:val="24"/>
          <w:szCs w:val="24"/>
          <w:highlight w:val="none"/>
          <w:lang w:val="en-US" w:eastAsia="zh-CN" w:bidi="ar-SA"/>
        </w:rPr>
        <w:t>预安排停电复电时间分布分析</w:t>
      </w:r>
      <w:bookmarkEnd w:id="14"/>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黑体" w:hAnsi="黑体" w:eastAsia="黑体" w:cs="Arial"/>
          <w:color w:val="auto"/>
          <w:sz w:val="24"/>
          <w:szCs w:val="24"/>
          <w:highlight w:val="none"/>
          <w:lang w:val="en-US" w:eastAsia="zh-CN"/>
        </w:rPr>
      </w:pPr>
      <w:r>
        <w:rPr>
          <w:rFonts w:hint="eastAsia" w:ascii="黑体" w:hAnsi="黑体" w:eastAsia="黑体" w:cs="Arial"/>
          <w:color w:val="auto"/>
          <w:sz w:val="24"/>
          <w:szCs w:val="24"/>
          <w:highlight w:val="none"/>
        </w:rPr>
        <w:t>表</w:t>
      </w:r>
      <w:r>
        <w:rPr>
          <w:rFonts w:hint="eastAsia" w:ascii="黑体" w:hAnsi="黑体" w:eastAsia="黑体" w:cs="Arial"/>
          <w:color w:val="auto"/>
          <w:sz w:val="24"/>
          <w:szCs w:val="24"/>
          <w:highlight w:val="none"/>
          <w:lang w:val="en-US" w:eastAsia="zh-CN"/>
        </w:rPr>
        <w:t>6  预安排</w:t>
      </w:r>
      <w:r>
        <w:rPr>
          <w:rFonts w:hint="eastAsia" w:ascii="黑体" w:hAnsi="黑体" w:eastAsia="黑体" w:cs="Arial"/>
          <w:color w:val="auto"/>
          <w:sz w:val="24"/>
          <w:szCs w:val="24"/>
          <w:highlight w:val="none"/>
        </w:rPr>
        <w:t>停电复电时间</w:t>
      </w:r>
      <w:r>
        <w:rPr>
          <w:rFonts w:hint="eastAsia" w:ascii="黑体" w:hAnsi="黑体" w:eastAsia="黑体" w:cs="Arial"/>
          <w:color w:val="auto"/>
          <w:sz w:val="24"/>
          <w:szCs w:val="24"/>
          <w:highlight w:val="none"/>
          <w:lang w:val="en-US" w:eastAsia="zh-CN"/>
        </w:rPr>
        <w:t>分布情况</w:t>
      </w:r>
    </w:p>
    <w:p>
      <w:pPr>
        <w:widowControl/>
        <w:jc w:val="right"/>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color w:val="auto"/>
          <w:kern w:val="0"/>
          <w:lang w:val="en-US" w:eastAsia="zh-CN"/>
        </w:rPr>
        <w:t>次</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bl>
      <w:tblPr>
        <w:tblStyle w:val="29"/>
        <w:tblW w:w="92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99"/>
        <w:gridCol w:w="2944"/>
        <w:gridCol w:w="2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停电时间/小时</w:t>
            </w:r>
          </w:p>
        </w:tc>
        <w:tc>
          <w:tcPr>
            <w:tcW w:w="2944"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次数</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占总次数比例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x≤1</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12.43%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1&lt;x≤2</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6.21%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2&lt;x≤3</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7.34%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3&lt;x≤4</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6.78%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4&lt;x≤5</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6.78%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5&lt;x≤6</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6&lt;x≤7</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8.47%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7&lt;x≤8</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16.95%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8&lt;x≤9</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9&lt;x</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19.77%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合计</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177</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100.00%</w:t>
            </w:r>
          </w:p>
        </w:tc>
      </w:tr>
    </w:tbl>
    <w:p>
      <w:pPr>
        <w:pStyle w:val="5"/>
        <w:keepNext/>
        <w:keepLines/>
        <w:pageBreakBefore w:val="0"/>
        <w:widowControl w:val="0"/>
        <w:numPr>
          <w:ilvl w:val="2"/>
          <w:numId w:val="4"/>
        </w:numPr>
        <w:kinsoku/>
        <w:wordWrap/>
        <w:overflowPunct/>
        <w:topLinePunct w:val="0"/>
        <w:autoSpaceDE/>
        <w:autoSpaceDN/>
        <w:bidi w:val="0"/>
        <w:adjustRightInd w:val="0"/>
        <w:snapToGrid w:val="0"/>
        <w:spacing w:before="0" w:after="0" w:line="312" w:lineRule="auto"/>
        <w:ind w:left="0" w:leftChars="0" w:firstLine="0" w:firstLineChars="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 xml:space="preserve"> </w:t>
      </w:r>
      <w:bookmarkStart w:id="15" w:name="_Toc29747"/>
      <w:r>
        <w:rPr>
          <w:rFonts w:hint="eastAsia" w:ascii="Times New Roman" w:hAnsi="Times New Roman" w:eastAsia="宋体" w:cs="Times New Roman"/>
          <w:b w:val="0"/>
          <w:bCs w:val="0"/>
          <w:color w:val="auto"/>
          <w:kern w:val="2"/>
          <w:sz w:val="24"/>
          <w:szCs w:val="24"/>
          <w:highlight w:val="none"/>
          <w:lang w:val="en-US" w:eastAsia="zh-CN" w:bidi="ar-SA"/>
        </w:rPr>
        <w:t>预安排重复停电分析</w:t>
      </w:r>
      <w:bookmarkEnd w:id="15"/>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黑体" w:hAnsi="黑体" w:eastAsia="黑体" w:cs="Arial"/>
          <w:color w:val="auto"/>
          <w:sz w:val="24"/>
          <w:szCs w:val="24"/>
          <w:highlight w:val="none"/>
          <w:lang w:val="en-US" w:eastAsia="zh-CN"/>
        </w:rPr>
      </w:pPr>
      <w:r>
        <w:rPr>
          <w:rFonts w:hint="eastAsia" w:ascii="黑体" w:hAnsi="黑体" w:eastAsia="黑体" w:cs="Arial"/>
          <w:color w:val="auto"/>
          <w:sz w:val="24"/>
          <w:szCs w:val="24"/>
          <w:highlight w:val="none"/>
          <w:lang w:val="en-US" w:eastAsia="zh-CN"/>
        </w:rPr>
        <w:t>表7  预安排重复停电情况（剔除调电）</w:t>
      </w:r>
    </w:p>
    <w:p>
      <w:pPr>
        <w:widowControl/>
        <w:jc w:val="right"/>
        <w:rPr>
          <w:rFonts w:hint="eastAsia"/>
          <w:lang w:val="en-US" w:eastAsia="zh-CN"/>
        </w:rPr>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i w:val="0"/>
          <w:color w:val="000000"/>
          <w:kern w:val="0"/>
          <w:sz w:val="20"/>
          <w:szCs w:val="20"/>
          <w:u w:val="none"/>
          <w:lang w:val="en-US" w:eastAsia="zh-CN" w:bidi="ar"/>
        </w:rPr>
        <w:t>户、</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cs="宋体"/>
          <w:color w:val="auto"/>
          <w:kern w:val="0"/>
          <w:lang w:val="en-US" w:eastAsia="zh-CN"/>
        </w:rPr>
        <w:t>次</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p>
    <w:tbl>
      <w:tblPr>
        <w:tblStyle w:val="29"/>
        <w:tblW w:w="9281" w:type="dxa"/>
        <w:tblInd w:w="0" w:type="dxa"/>
        <w:tblLayout w:type="fixed"/>
        <w:tblCellMar>
          <w:top w:w="0" w:type="dxa"/>
          <w:left w:w="108" w:type="dxa"/>
          <w:bottom w:w="0" w:type="dxa"/>
          <w:right w:w="108" w:type="dxa"/>
        </w:tblCellMar>
      </w:tblPr>
      <w:tblGrid>
        <w:gridCol w:w="1791"/>
        <w:gridCol w:w="1470"/>
        <w:gridCol w:w="1056"/>
        <w:gridCol w:w="1765"/>
        <w:gridCol w:w="856"/>
        <w:gridCol w:w="1101"/>
        <w:gridCol w:w="1242"/>
      </w:tblGrid>
      <w:tr>
        <w:tblPrEx>
          <w:tblCellMar>
            <w:top w:w="0" w:type="dxa"/>
            <w:left w:w="108" w:type="dxa"/>
            <w:bottom w:w="0" w:type="dxa"/>
            <w:right w:w="108" w:type="dxa"/>
          </w:tblCellMar>
        </w:tblPrEx>
        <w:trPr>
          <w:trHeight w:val="397" w:hRule="atLeast"/>
        </w:trPr>
        <w:tc>
          <w:tcPr>
            <w:tcW w:w="1791" w:type="dxa"/>
            <w:tcBorders>
              <w:top w:val="single" w:color="000000" w:sz="4" w:space="0"/>
              <w:left w:val="single" w:color="000000" w:sz="4" w:space="0"/>
              <w:bottom w:val="single" w:color="auto" w:sz="4" w:space="0"/>
              <w:right w:val="single" w:color="000000" w:sz="4" w:space="0"/>
            </w:tcBorders>
            <w:shd w:val="clear" w:color="000000" w:fill="auto"/>
            <w:vAlign w:val="center"/>
          </w:tcPr>
          <w:p>
            <w:pPr>
              <w:widowControl/>
              <w:jc w:val="center"/>
              <w:rPr>
                <w:rFonts w:ascii="宋体" w:hAnsi="宋体" w:cs="宋体"/>
                <w:kern w:val="0"/>
                <w:highlight w:val="none"/>
              </w:rPr>
            </w:pPr>
            <w:r>
              <w:rPr>
                <w:rFonts w:hint="eastAsia" w:ascii="宋体" w:hAnsi="宋体" w:cs="宋体"/>
                <w:kern w:val="0"/>
                <w:highlight w:val="none"/>
              </w:rPr>
              <w:t>单位名称</w:t>
            </w:r>
          </w:p>
        </w:tc>
        <w:tc>
          <w:tcPr>
            <w:tcW w:w="1470"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重停用户数</w:t>
            </w:r>
          </w:p>
        </w:tc>
        <w:tc>
          <w:tcPr>
            <w:tcW w:w="1056"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同比</w:t>
            </w:r>
          </w:p>
        </w:tc>
        <w:tc>
          <w:tcPr>
            <w:tcW w:w="1765"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今年重停时户数</w:t>
            </w:r>
          </w:p>
        </w:tc>
        <w:tc>
          <w:tcPr>
            <w:tcW w:w="856"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同比</w:t>
            </w:r>
          </w:p>
        </w:tc>
        <w:tc>
          <w:tcPr>
            <w:tcW w:w="1101"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最多次数</w:t>
            </w:r>
          </w:p>
        </w:tc>
        <w:tc>
          <w:tcPr>
            <w:tcW w:w="1242"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停电时间</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eastAsia="宋体" w:cs="宋体"/>
                <w:kern w:val="0"/>
                <w:highlight w:val="none"/>
                <w:lang w:eastAsia="zh-CN"/>
              </w:rPr>
            </w:pPr>
            <w:r>
              <w:rPr>
                <w:rFonts w:hint="eastAsia" w:ascii="宋体" w:hAnsi="宋体" w:eastAsia="宋体" w:cs="宋体"/>
                <w:i w:val="0"/>
                <w:iCs w:val="0"/>
                <w:color w:val="000000"/>
                <w:kern w:val="0"/>
                <w:sz w:val="21"/>
                <w:szCs w:val="21"/>
                <w:u w:val="none"/>
                <w:lang w:val="en-US" w:eastAsia="zh-CN" w:bidi="ar"/>
              </w:rPr>
              <w:t>包头供电公司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highlight w:val="none"/>
                <w:lang w:val="en-US"/>
              </w:rPr>
            </w:pPr>
            <w:r>
              <w:rPr>
                <w:rFonts w:hint="eastAsia" w:ascii="宋体" w:hAnsi="宋体" w:eastAsia="宋体" w:cs="宋体"/>
                <w:i w:val="0"/>
                <w:iCs w:val="0"/>
                <w:color w:val="000000"/>
                <w:kern w:val="0"/>
                <w:sz w:val="21"/>
                <w:szCs w:val="21"/>
                <w:u w:val="none"/>
                <w:lang w:val="en-US" w:eastAsia="zh-CN" w:bidi="ar"/>
              </w:rPr>
              <w:t>0</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-0.4255%</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highlight w:val="none"/>
                <w:lang w:val="en-US"/>
              </w:rPr>
            </w:pPr>
            <w:r>
              <w:rPr>
                <w:rFonts w:hint="eastAsia" w:ascii="宋体" w:hAnsi="宋体" w:eastAsia="宋体" w:cs="宋体"/>
                <w:i w:val="0"/>
                <w:iCs w:val="0"/>
                <w:color w:val="000000"/>
                <w:kern w:val="0"/>
                <w:sz w:val="21"/>
                <w:szCs w:val="21"/>
                <w:u w:val="none"/>
                <w:lang w:val="en-US" w:eastAsia="zh-CN" w:bidi="ar"/>
              </w:rPr>
              <w:t>0</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-3634.96</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eastAsia="宋体" w:cs="宋体"/>
                <w:color w:val="FF0000"/>
                <w:kern w:val="0"/>
                <w:highlight w:val="none"/>
                <w:lang w:eastAsia="zh-CN"/>
              </w:rPr>
            </w:pPr>
            <w:r>
              <w:rPr>
                <w:rFonts w:hint="eastAsia" w:ascii="宋体" w:hAnsi="宋体" w:eastAsia="宋体" w:cs="宋体"/>
                <w:i w:val="0"/>
                <w:iCs w:val="0"/>
                <w:color w:val="000000"/>
                <w:kern w:val="0"/>
                <w:sz w:val="21"/>
                <w:szCs w:val="21"/>
                <w:u w:val="none"/>
                <w:lang w:val="en-US" w:eastAsia="zh-CN" w:bidi="ar"/>
              </w:rPr>
              <w:t>包头供电公司东河供电分公司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color w:val="FF0000"/>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color w:val="FF0000"/>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color w:val="FF0000"/>
                <w:kern w:val="0"/>
                <w:highlight w:val="none"/>
                <w:lang w:val="en-US"/>
              </w:rPr>
            </w:pPr>
            <w:r>
              <w:rPr>
                <w:rFonts w:hint="eastAsia" w:ascii="宋体" w:hAnsi="宋体" w:eastAsia="宋体" w:cs="宋体"/>
                <w:i w:val="0"/>
                <w:iCs w:val="0"/>
                <w:color w:val="000000"/>
                <w:kern w:val="0"/>
                <w:sz w:val="21"/>
                <w:szCs w:val="21"/>
                <w:u w:val="none"/>
                <w:lang w:val="en-US" w:eastAsia="zh-CN" w:bidi="ar"/>
              </w:rPr>
              <w:t>0</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cs="宋体"/>
                <w:color w:val="FF0000"/>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color w:val="FF0000"/>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color w:val="FF0000"/>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eastAsia="宋体" w:cs="宋体"/>
                <w:kern w:val="0"/>
                <w:highlight w:val="none"/>
                <w:lang w:eastAsia="zh-CN"/>
              </w:rPr>
            </w:pPr>
            <w:r>
              <w:rPr>
                <w:rFonts w:hint="eastAsia" w:ascii="宋体" w:hAnsi="宋体" w:eastAsia="宋体" w:cs="宋体"/>
                <w:i w:val="0"/>
                <w:iCs w:val="0"/>
                <w:color w:val="000000"/>
                <w:kern w:val="0"/>
                <w:sz w:val="21"/>
                <w:szCs w:val="21"/>
                <w:u w:val="none"/>
                <w:lang w:val="en-US" w:eastAsia="zh-CN" w:bidi="ar"/>
              </w:rPr>
              <w:t>包头供电公司青山供电分公司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highlight w:val="none"/>
                <w:lang w:val="en-US"/>
              </w:rPr>
            </w:pPr>
            <w:r>
              <w:rPr>
                <w:rFonts w:hint="eastAsia" w:ascii="宋体" w:hAnsi="宋体" w:eastAsia="宋体" w:cs="宋体"/>
                <w:i w:val="0"/>
                <w:iCs w:val="0"/>
                <w:color w:val="000000"/>
                <w:kern w:val="0"/>
                <w:sz w:val="21"/>
                <w:szCs w:val="21"/>
                <w:u w:val="none"/>
                <w:lang w:val="en-US" w:eastAsia="zh-CN" w:bidi="ar"/>
              </w:rPr>
              <w:t>0</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highlight w:val="none"/>
                <w:lang w:val="en-US"/>
              </w:rPr>
            </w:pPr>
            <w:r>
              <w:rPr>
                <w:rFonts w:hint="eastAsia" w:ascii="宋体" w:hAnsi="宋体" w:eastAsia="宋体" w:cs="宋体"/>
                <w:i w:val="0"/>
                <w:iCs w:val="0"/>
                <w:color w:val="000000"/>
                <w:kern w:val="0"/>
                <w:sz w:val="21"/>
                <w:szCs w:val="21"/>
                <w:u w:val="none"/>
                <w:lang w:val="en-US" w:eastAsia="zh-CN" w:bidi="ar"/>
              </w:rPr>
              <w:t>0</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包头供电公司昆区供电分公司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highlight w:val="none"/>
                <w:lang w:val="en-US"/>
              </w:rPr>
            </w:pPr>
            <w:r>
              <w:rPr>
                <w:rFonts w:hint="eastAsia" w:ascii="宋体" w:hAnsi="宋体" w:eastAsia="宋体" w:cs="宋体"/>
                <w:i w:val="0"/>
                <w:iCs w:val="0"/>
                <w:color w:val="000000"/>
                <w:kern w:val="0"/>
                <w:sz w:val="21"/>
                <w:szCs w:val="21"/>
                <w:u w:val="none"/>
                <w:lang w:val="en-US" w:eastAsia="zh-CN" w:bidi="ar"/>
              </w:rPr>
              <w:t>0</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highlight w:val="none"/>
                <w:lang w:val="en-US"/>
              </w:rPr>
            </w:pPr>
            <w:r>
              <w:rPr>
                <w:rFonts w:hint="eastAsia" w:ascii="宋体" w:hAnsi="宋体" w:eastAsia="宋体" w:cs="宋体"/>
                <w:i w:val="0"/>
                <w:iCs w:val="0"/>
                <w:color w:val="000000"/>
                <w:kern w:val="0"/>
                <w:sz w:val="21"/>
                <w:szCs w:val="21"/>
                <w:u w:val="none"/>
                <w:lang w:val="en-US" w:eastAsia="zh-CN" w:bidi="ar"/>
              </w:rPr>
              <w:t>0</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包头供电公司白云供电分公司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包头供电公司石拐供电分公司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highlight w:val="none"/>
                <w:lang w:val="en-US"/>
              </w:rPr>
            </w:pPr>
            <w:r>
              <w:rPr>
                <w:rFonts w:hint="eastAsia" w:ascii="宋体" w:hAnsi="宋体" w:eastAsia="宋体" w:cs="宋体"/>
                <w:i w:val="0"/>
                <w:iCs w:val="0"/>
                <w:color w:val="000000"/>
                <w:kern w:val="0"/>
                <w:sz w:val="21"/>
                <w:szCs w:val="21"/>
                <w:u w:val="none"/>
                <w:lang w:val="en-US" w:eastAsia="zh-CN" w:bidi="ar"/>
              </w:rPr>
              <w:t>0</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包头供电公司高新供电分公司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highlight w:val="none"/>
                <w:lang w:val="en-US"/>
              </w:rPr>
            </w:pPr>
            <w:r>
              <w:rPr>
                <w:rFonts w:hint="eastAsia" w:ascii="宋体" w:hAnsi="宋体" w:eastAsia="宋体" w:cs="宋体"/>
                <w:i w:val="0"/>
                <w:iCs w:val="0"/>
                <w:color w:val="000000"/>
                <w:kern w:val="0"/>
                <w:sz w:val="21"/>
                <w:szCs w:val="21"/>
                <w:u w:val="none"/>
                <w:lang w:val="en-US" w:eastAsia="zh-CN" w:bidi="ar"/>
              </w:rPr>
              <w:t>0</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包头供电公司新都市区供电分公司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highlight w:val="none"/>
                <w:lang w:val="en-US"/>
              </w:rPr>
            </w:pPr>
            <w:r>
              <w:rPr>
                <w:rFonts w:hint="eastAsia" w:ascii="宋体" w:hAnsi="宋体" w:eastAsia="宋体" w:cs="宋体"/>
                <w:i w:val="0"/>
                <w:iCs w:val="0"/>
                <w:color w:val="000000"/>
                <w:kern w:val="0"/>
                <w:sz w:val="21"/>
                <w:szCs w:val="21"/>
                <w:u w:val="none"/>
                <w:lang w:val="en-US" w:eastAsia="zh-CN" w:bidi="ar"/>
              </w:rPr>
              <w:t>0</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cs="宋体"/>
                <w:color w:val="FF0000"/>
                <w:kern w:val="0"/>
                <w:highlight w:val="none"/>
              </w:rPr>
            </w:pPr>
            <w:r>
              <w:rPr>
                <w:rFonts w:hint="eastAsia" w:ascii="宋体" w:hAnsi="宋体" w:eastAsia="宋体" w:cs="宋体"/>
                <w:i w:val="0"/>
                <w:iCs w:val="0"/>
                <w:color w:val="000000"/>
                <w:kern w:val="0"/>
                <w:sz w:val="21"/>
                <w:szCs w:val="21"/>
                <w:u w:val="none"/>
                <w:lang w:val="en-US" w:eastAsia="zh-CN" w:bidi="ar"/>
              </w:rPr>
              <w:t>包头供电公司九原供电分公司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color w:val="FF0000"/>
                <w:kern w:val="0"/>
                <w:highlight w:val="none"/>
                <w:lang w:val="en-US"/>
              </w:rPr>
            </w:pPr>
            <w:r>
              <w:rPr>
                <w:rFonts w:hint="eastAsia" w:ascii="宋体" w:hAnsi="宋体" w:eastAsia="宋体" w:cs="宋体"/>
                <w:i w:val="0"/>
                <w:iCs w:val="0"/>
                <w:color w:val="000000"/>
                <w:kern w:val="0"/>
                <w:sz w:val="21"/>
                <w:szCs w:val="21"/>
                <w:u w:val="none"/>
                <w:lang w:val="en-US" w:eastAsia="zh-CN" w:bidi="ar"/>
              </w:rPr>
              <w:t>0</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color w:val="FF0000"/>
                <w:kern w:val="0"/>
                <w:highlight w:val="none"/>
              </w:rPr>
            </w:pPr>
            <w:r>
              <w:rPr>
                <w:rFonts w:hint="eastAsia" w:ascii="宋体" w:hAnsi="宋体" w:eastAsia="宋体" w:cs="宋体"/>
                <w:i w:val="0"/>
                <w:iCs w:val="0"/>
                <w:color w:val="000000"/>
                <w:kern w:val="0"/>
                <w:sz w:val="21"/>
                <w:szCs w:val="21"/>
                <w:u w:val="none"/>
                <w:lang w:val="en-US" w:eastAsia="zh-CN" w:bidi="ar"/>
              </w:rPr>
              <w:t>-2.7458%</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color w:val="FF0000"/>
                <w:kern w:val="0"/>
                <w:highlight w:val="none"/>
                <w:lang w:val="en-US"/>
              </w:rPr>
            </w:pPr>
            <w:r>
              <w:rPr>
                <w:rFonts w:hint="eastAsia" w:ascii="宋体" w:hAnsi="宋体" w:eastAsia="宋体" w:cs="宋体"/>
                <w:i w:val="0"/>
                <w:iCs w:val="0"/>
                <w:color w:val="000000"/>
                <w:kern w:val="0"/>
                <w:sz w:val="21"/>
                <w:szCs w:val="21"/>
                <w:u w:val="none"/>
                <w:lang w:val="en-US" w:eastAsia="zh-CN" w:bidi="ar"/>
              </w:rPr>
              <w:t>0</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cs="宋体"/>
                <w:color w:val="FF0000"/>
                <w:kern w:val="0"/>
                <w:highlight w:val="none"/>
              </w:rPr>
            </w:pPr>
            <w:r>
              <w:rPr>
                <w:rFonts w:hint="eastAsia" w:ascii="宋体" w:hAnsi="宋体" w:eastAsia="宋体" w:cs="宋体"/>
                <w:i w:val="0"/>
                <w:iCs w:val="0"/>
                <w:color w:val="000000"/>
                <w:kern w:val="0"/>
                <w:sz w:val="21"/>
                <w:szCs w:val="21"/>
                <w:u w:val="none"/>
                <w:lang w:val="en-US" w:eastAsia="zh-CN" w:bidi="ar"/>
              </w:rPr>
              <w:t>-3634.96</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color w:val="FF0000"/>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color w:val="FF0000"/>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包头供电公司土右供电分公司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cs="宋体"/>
                <w:color w:val="FF0000"/>
                <w:kern w:val="0"/>
                <w:highlight w:val="none"/>
              </w:rPr>
            </w:pPr>
            <w:r>
              <w:rPr>
                <w:rFonts w:hint="eastAsia" w:ascii="宋体" w:hAnsi="宋体" w:eastAsia="宋体" w:cs="宋体"/>
                <w:i w:val="0"/>
                <w:iCs w:val="0"/>
                <w:color w:val="000000"/>
                <w:kern w:val="0"/>
                <w:sz w:val="21"/>
                <w:szCs w:val="21"/>
                <w:u w:val="none"/>
                <w:lang w:val="en-US" w:eastAsia="zh-CN" w:bidi="ar"/>
              </w:rPr>
              <w:t>包头供电公司固阳供电分公司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color w:val="FF0000"/>
                <w:kern w:val="0"/>
                <w:highlight w:val="none"/>
                <w:lang w:val="en-US"/>
              </w:rPr>
            </w:pPr>
            <w:r>
              <w:rPr>
                <w:rFonts w:hint="eastAsia" w:ascii="宋体" w:hAnsi="宋体" w:eastAsia="宋体" w:cs="宋体"/>
                <w:i w:val="0"/>
                <w:iCs w:val="0"/>
                <w:color w:val="000000"/>
                <w:kern w:val="0"/>
                <w:sz w:val="21"/>
                <w:szCs w:val="21"/>
                <w:u w:val="none"/>
                <w:lang w:val="en-US" w:eastAsia="zh-CN" w:bidi="ar"/>
              </w:rPr>
              <w:t>0</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color w:val="FF0000"/>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color w:val="FF0000"/>
                <w:kern w:val="0"/>
                <w:highlight w:val="none"/>
                <w:lang w:val="en-US"/>
              </w:rPr>
            </w:pPr>
            <w:r>
              <w:rPr>
                <w:rFonts w:hint="eastAsia" w:ascii="宋体" w:hAnsi="宋体" w:eastAsia="宋体" w:cs="宋体"/>
                <w:i w:val="0"/>
                <w:iCs w:val="0"/>
                <w:color w:val="000000"/>
                <w:kern w:val="0"/>
                <w:sz w:val="21"/>
                <w:szCs w:val="21"/>
                <w:u w:val="none"/>
                <w:lang w:val="en-US" w:eastAsia="zh-CN" w:bidi="ar"/>
              </w:rPr>
              <w:t>0</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cs="宋体"/>
                <w:color w:val="FF0000"/>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color w:val="FF0000"/>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color w:val="FF0000"/>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cs="宋体"/>
                <w:color w:val="FF0000"/>
                <w:kern w:val="0"/>
                <w:highlight w:val="none"/>
              </w:rPr>
            </w:pPr>
            <w:r>
              <w:rPr>
                <w:rFonts w:hint="eastAsia" w:ascii="宋体" w:hAnsi="宋体" w:eastAsia="宋体" w:cs="宋体"/>
                <w:i w:val="0"/>
                <w:iCs w:val="0"/>
                <w:color w:val="000000"/>
                <w:kern w:val="0"/>
                <w:sz w:val="21"/>
                <w:szCs w:val="21"/>
                <w:u w:val="none"/>
                <w:lang w:val="en-US" w:eastAsia="zh-CN" w:bidi="ar"/>
              </w:rPr>
              <w:t>包头供电公司达茂供电分公司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color w:val="FF0000"/>
                <w:kern w:val="0"/>
                <w:highlight w:val="none"/>
                <w:lang w:val="en-US"/>
              </w:rPr>
            </w:pPr>
            <w:r>
              <w:rPr>
                <w:rFonts w:hint="eastAsia" w:ascii="宋体" w:hAnsi="宋体" w:eastAsia="宋体" w:cs="宋体"/>
                <w:i w:val="0"/>
                <w:iCs w:val="0"/>
                <w:color w:val="000000"/>
                <w:kern w:val="0"/>
                <w:sz w:val="21"/>
                <w:szCs w:val="21"/>
                <w:u w:val="none"/>
                <w:lang w:val="en-US" w:eastAsia="zh-CN" w:bidi="ar"/>
              </w:rPr>
              <w:t>0</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color w:val="FF0000"/>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color w:val="FF0000"/>
                <w:kern w:val="0"/>
                <w:highlight w:val="none"/>
                <w:lang w:val="en-US"/>
              </w:rPr>
            </w:pPr>
            <w:r>
              <w:rPr>
                <w:rFonts w:hint="eastAsia" w:ascii="宋体" w:hAnsi="宋体" w:eastAsia="宋体" w:cs="宋体"/>
                <w:i w:val="0"/>
                <w:iCs w:val="0"/>
                <w:color w:val="000000"/>
                <w:kern w:val="0"/>
                <w:sz w:val="21"/>
                <w:szCs w:val="21"/>
                <w:u w:val="none"/>
                <w:lang w:val="en-US" w:eastAsia="zh-CN" w:bidi="ar"/>
              </w:rPr>
              <w:t>0</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cs="宋体"/>
                <w:color w:val="FF0000"/>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color w:val="FF0000"/>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color w:val="FF0000"/>
                <w:kern w:val="0"/>
                <w:highlight w:val="none"/>
                <w:lang w:val="en-US" w:eastAsia="zh-CN"/>
              </w:rPr>
            </w:pPr>
            <w:r>
              <w:rPr>
                <w:rFonts w:hint="eastAsia" w:ascii="宋体" w:hAnsi="宋体" w:eastAsia="宋体" w:cs="宋体"/>
                <w:i w:val="0"/>
                <w:iCs w:val="0"/>
                <w:color w:val="000000"/>
                <w:kern w:val="0"/>
                <w:sz w:val="21"/>
                <w:szCs w:val="21"/>
                <w:u w:val="none"/>
                <w:lang w:val="en-US" w:eastAsia="zh-CN" w:bidi="ar"/>
              </w:rPr>
              <w:t>0</w:t>
            </w:r>
          </w:p>
        </w:tc>
      </w:tr>
    </w:tbl>
    <w:p>
      <w:pPr>
        <w:pStyle w:val="5"/>
        <w:keepNext/>
        <w:keepLines/>
        <w:pageBreakBefore w:val="0"/>
        <w:widowControl w:val="0"/>
        <w:numPr>
          <w:ilvl w:val="2"/>
          <w:numId w:val="4"/>
        </w:numPr>
        <w:kinsoku/>
        <w:wordWrap/>
        <w:overflowPunct/>
        <w:topLinePunct w:val="0"/>
        <w:autoSpaceDE/>
        <w:autoSpaceDN/>
        <w:bidi w:val="0"/>
        <w:adjustRightInd w:val="0"/>
        <w:snapToGrid w:val="0"/>
        <w:spacing w:before="0" w:after="0" w:line="312" w:lineRule="auto"/>
        <w:ind w:left="0" w:leftChars="0" w:firstLine="0" w:firstLineChars="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bookmarkStart w:id="16" w:name="_Toc29380"/>
      <w:bookmarkStart w:id="17" w:name="_Toc27332"/>
      <w:r>
        <w:rPr>
          <w:rFonts w:hint="eastAsia" w:ascii="Times New Roman" w:hAnsi="Times New Roman" w:eastAsia="宋体" w:cs="Times New Roman"/>
          <w:b w:val="0"/>
          <w:bCs w:val="0"/>
          <w:color w:val="auto"/>
          <w:kern w:val="2"/>
          <w:sz w:val="24"/>
          <w:szCs w:val="24"/>
          <w:highlight w:val="none"/>
          <w:lang w:val="en-US" w:eastAsia="zh-CN" w:bidi="ar-SA"/>
        </w:rPr>
        <w:t xml:space="preserve"> 预安排停电原因分类分析</w:t>
      </w:r>
      <w:bookmarkEnd w:id="16"/>
      <w:bookmarkEnd w:id="17"/>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黑体" w:hAnsi="黑体" w:eastAsia="黑体" w:cs="Arial"/>
          <w:color w:val="auto"/>
          <w:sz w:val="24"/>
          <w:szCs w:val="24"/>
          <w:highlight w:val="none"/>
          <w:lang w:val="en-US" w:eastAsia="zh-CN"/>
        </w:rPr>
      </w:pPr>
      <w:r>
        <w:rPr>
          <w:rFonts w:hint="eastAsia" w:ascii="黑体" w:hAnsi="黑体" w:eastAsia="黑体" w:cs="Arial"/>
          <w:color w:val="auto"/>
          <w:sz w:val="24"/>
          <w:szCs w:val="24"/>
          <w:highlight w:val="none"/>
          <w:lang w:val="en-US" w:eastAsia="zh-CN"/>
        </w:rPr>
        <w:t>表8  预安排停电责任原因情况</w:t>
      </w:r>
    </w:p>
    <w:p>
      <w:pPr>
        <w:widowControl/>
        <w:jc w:val="right"/>
        <w:rPr>
          <w:rFonts w:hint="default"/>
          <w:lang w:val="en-US"/>
        </w:rPr>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color w:val="auto"/>
          <w:kern w:val="0"/>
          <w:lang w:val="en-US" w:eastAsia="zh-CN"/>
        </w:rPr>
        <w:t>次、</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w:t>
      </w:r>
      <w:r>
        <w:rPr>
          <w:rFonts w:hint="eastAsia" w:ascii="宋体" w:hAnsi="宋体" w:cs="宋体"/>
          <w:color w:val="auto"/>
          <w:kern w:val="0"/>
          <w:lang w:val="en-US" w:eastAsia="zh-CN"/>
        </w:rPr>
        <w:t>次/户、h/次、户/次</w:t>
      </w:r>
    </w:p>
    <w:tbl>
      <w:tblPr>
        <w:tblStyle w:val="29"/>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2044"/>
        <w:gridCol w:w="933"/>
        <w:gridCol w:w="1250"/>
        <w:gridCol w:w="1262"/>
        <w:gridCol w:w="1112"/>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192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责任原因</w:t>
            </w:r>
            <w:r>
              <w:rPr>
                <w:rFonts w:hint="eastAsia" w:ascii="宋体" w:hAnsi="宋体" w:cs="宋体"/>
                <w:color w:val="auto"/>
                <w:kern w:val="0"/>
                <w:sz w:val="21"/>
                <w:szCs w:val="21"/>
                <w:highlight w:val="none"/>
                <w:lang w:val="en-US" w:eastAsia="zh-CN"/>
              </w:rPr>
              <w:t>码</w:t>
            </w:r>
          </w:p>
        </w:tc>
        <w:tc>
          <w:tcPr>
            <w:tcW w:w="204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责任原因</w:t>
            </w:r>
          </w:p>
        </w:tc>
        <w:tc>
          <w:tcPr>
            <w:tcW w:w="933" w:type="dxa"/>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cs="宋体"/>
                <w:color w:val="auto"/>
                <w:kern w:val="0"/>
                <w:lang w:val="en-US" w:eastAsia="zh-CN"/>
              </w:rPr>
              <w:t>停电次数</w:t>
            </w:r>
          </w:p>
        </w:tc>
        <w:tc>
          <w:tcPr>
            <w:tcW w:w="1250"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rPr>
              <w:t>平均停电时间</w:t>
            </w:r>
          </w:p>
        </w:tc>
        <w:tc>
          <w:tcPr>
            <w:tcW w:w="1262"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rPr>
              <w:t>占</w:t>
            </w:r>
            <w:r>
              <w:rPr>
                <w:rFonts w:hint="eastAsia" w:ascii="宋体" w:hAnsi="宋体" w:cs="宋体"/>
                <w:color w:val="auto"/>
                <w:kern w:val="0"/>
                <w:lang w:val="en-US" w:eastAsia="zh-CN"/>
              </w:rPr>
              <w:t>预安排</w:t>
            </w:r>
            <w:r>
              <w:rPr>
                <w:rFonts w:hint="eastAsia" w:ascii="宋体" w:hAnsi="宋体" w:cs="宋体"/>
                <w:color w:val="auto"/>
                <w:kern w:val="0"/>
              </w:rPr>
              <w:t>停电比例</w:t>
            </w:r>
          </w:p>
        </w:tc>
        <w:tc>
          <w:tcPr>
            <w:tcW w:w="1112"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lang w:val="en-US" w:eastAsia="zh-CN"/>
              </w:rPr>
              <w:t>停电时间同比</w:t>
            </w:r>
          </w:p>
        </w:tc>
        <w:tc>
          <w:tcPr>
            <w:tcW w:w="1112" w:type="dxa"/>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降幅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bookmarkStart w:id="18" w:name="_Toc503299629"/>
            <w:r>
              <w:rPr>
                <w:rFonts w:hint="eastAsia" w:ascii="宋体" w:hAnsi="宋体" w:eastAsia="宋体" w:cs="宋体"/>
                <w:i w:val="0"/>
                <w:iCs w:val="0"/>
                <w:color w:val="000000"/>
                <w:kern w:val="0"/>
                <w:sz w:val="21"/>
                <w:szCs w:val="21"/>
                <w:u w:val="none"/>
                <w:lang w:val="en-US" w:eastAsia="zh-CN" w:bidi="ar"/>
              </w:rPr>
              <w:t>501</w:t>
            </w:r>
          </w:p>
        </w:tc>
        <w:tc>
          <w:tcPr>
            <w:tcW w:w="2044"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检修停电</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82</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0.74 </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62.81%</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-0.10 </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-11.41%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50111、50121</w:t>
            </w:r>
          </w:p>
        </w:tc>
        <w:tc>
          <w:tcPr>
            <w:tcW w:w="204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配网设施检修</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59</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0.19 </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16.21%</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0.09 </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85.30%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50112</w:t>
            </w:r>
            <w:r>
              <w:rPr>
                <w:rStyle w:val="81"/>
                <w:lang w:val="en-US" w:eastAsia="zh-CN" w:bidi="ar"/>
              </w:rPr>
              <w:t>～50117、50122～50123</w:t>
            </w:r>
          </w:p>
        </w:tc>
        <w:tc>
          <w:tcPr>
            <w:tcW w:w="204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主网设施检修</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23</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0.55 </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46.59%</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-0.18 </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-25.05%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502</w:t>
            </w:r>
          </w:p>
        </w:tc>
        <w:tc>
          <w:tcPr>
            <w:tcW w:w="204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工程停电</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75</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0.41 </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35.14%</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-1.22 </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-74.70%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50211</w:t>
            </w:r>
          </w:p>
        </w:tc>
        <w:tc>
          <w:tcPr>
            <w:tcW w:w="204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配网工程</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52</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0.26 </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22.45%</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-0.66 </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-71.45%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50212</w:t>
            </w:r>
            <w:r>
              <w:rPr>
                <w:rStyle w:val="81"/>
                <w:lang w:val="en-US" w:eastAsia="zh-CN" w:bidi="ar"/>
              </w:rPr>
              <w:t>～50217</w:t>
            </w:r>
          </w:p>
        </w:tc>
        <w:tc>
          <w:tcPr>
            <w:tcW w:w="204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主网工程</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0.11 </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9.43%</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-0.44 </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-79.80%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5023</w:t>
            </w:r>
          </w:p>
        </w:tc>
        <w:tc>
          <w:tcPr>
            <w:tcW w:w="204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业扩工程</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0.01 </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1.16%</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0.00 </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-25.27%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5024</w:t>
            </w:r>
          </w:p>
        </w:tc>
        <w:tc>
          <w:tcPr>
            <w:tcW w:w="204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市政工程</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0.02 </w:t>
            </w:r>
          </w:p>
        </w:tc>
        <w:tc>
          <w:tcPr>
            <w:tcW w:w="1262"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2.11%</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-0.12 </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-82.46%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503</w:t>
            </w:r>
          </w:p>
        </w:tc>
        <w:tc>
          <w:tcPr>
            <w:tcW w:w="204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用户申请停电</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0.00 </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0.03%</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0.00 </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-78.57%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504</w:t>
            </w:r>
          </w:p>
        </w:tc>
        <w:tc>
          <w:tcPr>
            <w:tcW w:w="204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调电</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1250" w:type="dxa"/>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 xml:space="preserve">0.02 </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1.88%</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-0.41 </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-94.89%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505</w:t>
            </w:r>
          </w:p>
        </w:tc>
        <w:tc>
          <w:tcPr>
            <w:tcW w:w="204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限电</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0.00 </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0.00 </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506</w:t>
            </w:r>
          </w:p>
        </w:tc>
        <w:tc>
          <w:tcPr>
            <w:tcW w:w="2044"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低压作业影响</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0.00 </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0.14%</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0.00 </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2044"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预安排合计</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177</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1.17 </w:t>
            </w:r>
          </w:p>
        </w:tc>
        <w:tc>
          <w:tcPr>
            <w:tcW w:w="1262"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100.00%</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-1.72 </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eastAsia="宋体" w:cs="宋体"/>
                <w:i w:val="0"/>
                <w:iCs w:val="0"/>
                <w:color w:val="000000"/>
                <w:kern w:val="0"/>
                <w:sz w:val="21"/>
                <w:szCs w:val="21"/>
                <w:u w:val="none"/>
                <w:lang w:val="en-US" w:eastAsia="zh-CN" w:bidi="ar"/>
              </w:rPr>
              <w:t>-59.48%</w:t>
            </w:r>
          </w:p>
        </w:tc>
      </w:tr>
    </w:tbl>
    <w:p>
      <w:pPr>
        <w:pStyle w:val="4"/>
        <w:keepNext/>
        <w:keepLines/>
        <w:pageBreakBefore w:val="0"/>
        <w:widowControl w:val="0"/>
        <w:numPr>
          <w:ilvl w:val="1"/>
          <w:numId w:val="4"/>
        </w:numPr>
        <w:kinsoku/>
        <w:wordWrap/>
        <w:overflowPunct/>
        <w:topLinePunct w:val="0"/>
        <w:autoSpaceDE/>
        <w:autoSpaceDN/>
        <w:bidi w:val="0"/>
        <w:adjustRightInd/>
        <w:snapToGrid w:val="0"/>
        <w:spacing w:before="0" w:after="0" w:line="312" w:lineRule="auto"/>
        <w:ind w:left="0" w:leftChars="0" w:firstLine="0" w:firstLineChars="0"/>
        <w:jc w:val="both"/>
        <w:textAlignment w:val="auto"/>
        <w:rPr>
          <w:rFonts w:hint="eastAsia" w:ascii="宋体" w:hAnsi="宋体" w:eastAsia="宋体" w:cs="宋体"/>
          <w:b/>
          <w:bCs/>
          <w:kern w:val="2"/>
          <w:sz w:val="24"/>
          <w:szCs w:val="24"/>
          <w:lang w:val="en-US" w:eastAsia="zh-CN" w:bidi="ar-SA"/>
        </w:rPr>
      </w:pPr>
      <w:bookmarkStart w:id="19" w:name="_Toc14071"/>
      <w:bookmarkStart w:id="20" w:name="_Toc503299628"/>
      <w:r>
        <w:rPr>
          <w:rFonts w:hint="eastAsia" w:ascii="宋体" w:hAnsi="宋体" w:eastAsia="宋体" w:cs="宋体"/>
          <w:b/>
          <w:bCs/>
          <w:kern w:val="2"/>
          <w:sz w:val="24"/>
          <w:szCs w:val="24"/>
          <w:lang w:val="en-US" w:eastAsia="zh-CN" w:bidi="ar-SA"/>
        </w:rPr>
        <w:t xml:space="preserve"> </w:t>
      </w:r>
      <w:bookmarkEnd w:id="19"/>
      <w:bookmarkEnd w:id="20"/>
      <w:bookmarkStart w:id="21" w:name="_Toc16073"/>
      <w:bookmarkStart w:id="22" w:name="_Toc17992"/>
      <w:r>
        <w:rPr>
          <w:rFonts w:hint="eastAsia" w:ascii="宋体" w:hAnsi="宋体" w:eastAsia="宋体" w:cs="宋体"/>
          <w:b/>
          <w:bCs/>
          <w:kern w:val="2"/>
          <w:sz w:val="24"/>
          <w:szCs w:val="24"/>
          <w:lang w:val="en-US" w:eastAsia="zh-CN" w:bidi="ar-SA"/>
        </w:rPr>
        <w:t>故障停电责任原因分析</w:t>
      </w:r>
      <w:bookmarkEnd w:id="21"/>
      <w:bookmarkEnd w:id="22"/>
    </w:p>
    <w:p>
      <w:pPr>
        <w:pStyle w:val="5"/>
        <w:keepNext/>
        <w:keepLines/>
        <w:pageBreakBefore w:val="0"/>
        <w:widowControl w:val="0"/>
        <w:numPr>
          <w:ilvl w:val="2"/>
          <w:numId w:val="4"/>
        </w:numPr>
        <w:kinsoku/>
        <w:wordWrap/>
        <w:overflowPunct/>
        <w:topLinePunct w:val="0"/>
        <w:autoSpaceDE/>
        <w:autoSpaceDN/>
        <w:bidi w:val="0"/>
        <w:adjustRightInd w:val="0"/>
        <w:snapToGrid w:val="0"/>
        <w:spacing w:before="0" w:after="0" w:line="312" w:lineRule="auto"/>
        <w:ind w:left="0" w:leftChars="0" w:firstLine="0" w:firstLineChars="0"/>
        <w:jc w:val="both"/>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 xml:space="preserve"> </w:t>
      </w:r>
      <w:bookmarkStart w:id="23" w:name="_Toc11585"/>
      <w:r>
        <w:rPr>
          <w:rFonts w:hint="eastAsia" w:ascii="Times New Roman" w:hAnsi="Times New Roman" w:cs="Times New Roman"/>
          <w:b w:val="0"/>
          <w:bCs w:val="0"/>
          <w:color w:val="auto"/>
          <w:kern w:val="2"/>
          <w:sz w:val="24"/>
          <w:szCs w:val="24"/>
          <w:lang w:val="en-US" w:eastAsia="zh-CN" w:bidi="ar-SA"/>
        </w:rPr>
        <w:t>故障停电指标</w:t>
      </w:r>
      <w:bookmarkEnd w:id="23"/>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eastAsia" w:ascii="黑体" w:hAnsi="黑体" w:eastAsia="黑体" w:cs="仿宋"/>
          <w:color w:val="auto"/>
          <w:kern w:val="0"/>
          <w:sz w:val="24"/>
          <w:szCs w:val="24"/>
        </w:rPr>
      </w:pPr>
      <w:r>
        <w:rPr>
          <w:rFonts w:hint="eastAsia" w:ascii="黑体" w:hAnsi="黑体" w:eastAsia="黑体" w:cs="仿宋"/>
          <w:color w:val="auto"/>
          <w:kern w:val="0"/>
          <w:sz w:val="24"/>
          <w:szCs w:val="24"/>
        </w:rPr>
        <w:t>表</w:t>
      </w:r>
      <w:r>
        <w:rPr>
          <w:rFonts w:hint="eastAsia" w:ascii="黑体" w:hAnsi="黑体" w:eastAsia="黑体" w:cs="仿宋"/>
          <w:color w:val="auto"/>
          <w:kern w:val="0"/>
          <w:sz w:val="24"/>
          <w:szCs w:val="24"/>
          <w:lang w:val="en-US" w:eastAsia="zh-CN"/>
        </w:rPr>
        <w:t>9  用户故障</w:t>
      </w:r>
      <w:r>
        <w:rPr>
          <w:rFonts w:hint="eastAsia" w:ascii="黑体" w:hAnsi="黑体" w:eastAsia="黑体" w:cs="仿宋"/>
          <w:color w:val="auto"/>
          <w:kern w:val="0"/>
          <w:sz w:val="24"/>
          <w:szCs w:val="24"/>
        </w:rPr>
        <w:t>停电</w:t>
      </w:r>
      <w:r>
        <w:rPr>
          <w:rFonts w:hint="eastAsia" w:ascii="黑体" w:hAnsi="黑体" w:eastAsia="黑体" w:cs="仿宋"/>
          <w:color w:val="auto"/>
          <w:kern w:val="0"/>
          <w:sz w:val="24"/>
          <w:szCs w:val="24"/>
          <w:lang w:val="en-US" w:eastAsia="zh-CN"/>
        </w:rPr>
        <w:t>指标</w:t>
      </w:r>
      <w:r>
        <w:rPr>
          <w:rFonts w:hint="eastAsia" w:ascii="黑体" w:hAnsi="黑体" w:eastAsia="黑体" w:cs="仿宋"/>
          <w:color w:val="auto"/>
          <w:kern w:val="0"/>
          <w:sz w:val="24"/>
          <w:szCs w:val="24"/>
        </w:rPr>
        <w:t>情况</w:t>
      </w:r>
    </w:p>
    <w:p>
      <w:pPr>
        <w:widowControl/>
        <w:jc w:val="right"/>
        <w:rPr>
          <w:rFonts w:hint="eastAsia"/>
          <w:lang w:val="en-US" w:eastAsia="zh-CN"/>
        </w:rPr>
      </w:pPr>
      <w:r>
        <w:rPr>
          <w:rFonts w:hint="eastAsia" w:ascii="宋体" w:hAnsi="宋体" w:eastAsia="宋体" w:cs="宋体"/>
          <w:i w:val="0"/>
          <w:color w:val="000000"/>
          <w:kern w:val="0"/>
          <w:sz w:val="20"/>
          <w:szCs w:val="20"/>
          <w:u w:val="none"/>
          <w:lang w:val="en-US" w:eastAsia="zh-CN" w:bidi="ar"/>
        </w:rPr>
        <w:t>单位：h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w:t>
      </w:r>
      <w:r>
        <w:rPr>
          <w:rFonts w:hint="eastAsia" w:ascii="宋体" w:hAnsi="宋体" w:cs="宋体"/>
          <w:color w:val="auto"/>
          <w:kern w:val="0"/>
          <w:lang w:val="en-US" w:eastAsia="zh-CN"/>
        </w:rPr>
        <w:t>次/户、h/次、户/次</w:t>
      </w:r>
    </w:p>
    <w:tbl>
      <w:tblPr>
        <w:tblStyle w:val="29"/>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000"/>
        <w:gridCol w:w="1056"/>
        <w:gridCol w:w="1075"/>
        <w:gridCol w:w="972"/>
        <w:gridCol w:w="1063"/>
        <w:gridCol w:w="1056"/>
        <w:gridCol w:w="1088"/>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Align w:val="center"/>
          </w:tcPr>
          <w:p>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单位</w:t>
            </w:r>
          </w:p>
        </w:tc>
        <w:tc>
          <w:tcPr>
            <w:tcW w:w="1000" w:type="dxa"/>
            <w:vAlign w:val="center"/>
          </w:tcPr>
          <w:p>
            <w:pPr>
              <w:widowControl/>
              <w:jc w:val="center"/>
              <w:rPr>
                <w:rFonts w:hint="default" w:ascii="宋体" w:hAnsi="宋体" w:cs="宋体"/>
                <w:color w:val="auto"/>
                <w:kern w:val="0"/>
                <w:sz w:val="21"/>
                <w:szCs w:val="21"/>
                <w:lang w:val="en-US"/>
              </w:rPr>
            </w:pPr>
            <w:r>
              <w:rPr>
                <w:rFonts w:hint="eastAsia" w:ascii="宋体" w:hAnsi="宋体" w:cs="宋体"/>
                <w:color w:val="auto"/>
                <w:kern w:val="0"/>
                <w:sz w:val="21"/>
                <w:szCs w:val="21"/>
              </w:rPr>
              <w:t>平均停电时间</w:t>
            </w:r>
          </w:p>
        </w:tc>
        <w:tc>
          <w:tcPr>
            <w:tcW w:w="1056" w:type="dxa"/>
            <w:vAlign w:val="center"/>
          </w:tcPr>
          <w:p>
            <w:pPr>
              <w:widowControl/>
              <w:jc w:val="center"/>
              <w:rPr>
                <w:rFonts w:hint="default" w:ascii="宋体" w:hAnsi="宋体" w:cs="宋体"/>
                <w:color w:val="auto"/>
                <w:kern w:val="0"/>
                <w:sz w:val="21"/>
                <w:szCs w:val="21"/>
                <w:lang w:val="en-US"/>
              </w:rPr>
            </w:pPr>
            <w:r>
              <w:rPr>
                <w:rFonts w:hint="eastAsia" w:ascii="宋体" w:hAnsi="宋体" w:cs="宋体"/>
                <w:color w:val="auto"/>
                <w:kern w:val="0"/>
                <w:sz w:val="21"/>
                <w:szCs w:val="21"/>
                <w:lang w:eastAsia="zh-CN"/>
              </w:rPr>
              <w:t>降幅</w:t>
            </w:r>
          </w:p>
        </w:tc>
        <w:tc>
          <w:tcPr>
            <w:tcW w:w="1075" w:type="dxa"/>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rPr>
              <w:t>平均停电</w:t>
            </w:r>
            <w:r>
              <w:rPr>
                <w:rFonts w:hint="eastAsia" w:ascii="宋体" w:hAnsi="宋体" w:cs="宋体"/>
                <w:color w:val="auto"/>
                <w:kern w:val="0"/>
                <w:sz w:val="21"/>
                <w:szCs w:val="21"/>
                <w:lang w:val="en-US" w:eastAsia="zh-CN"/>
              </w:rPr>
              <w:t>频率</w:t>
            </w:r>
          </w:p>
        </w:tc>
        <w:tc>
          <w:tcPr>
            <w:tcW w:w="972" w:type="dxa"/>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eastAsia="zh-CN"/>
              </w:rPr>
              <w:t>降幅</w:t>
            </w:r>
          </w:p>
        </w:tc>
        <w:tc>
          <w:tcPr>
            <w:tcW w:w="1063" w:type="dxa"/>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平均</w:t>
            </w:r>
            <w:r>
              <w:rPr>
                <w:rFonts w:hint="eastAsia" w:ascii="宋体" w:hAnsi="宋体" w:cs="宋体"/>
                <w:color w:val="auto"/>
                <w:kern w:val="0"/>
                <w:sz w:val="21"/>
                <w:szCs w:val="21"/>
              </w:rPr>
              <w:t>停电持续时间</w:t>
            </w:r>
          </w:p>
        </w:tc>
        <w:tc>
          <w:tcPr>
            <w:tcW w:w="1056" w:type="dxa"/>
            <w:vAlign w:val="center"/>
          </w:tcPr>
          <w:p>
            <w:pPr>
              <w:widowControl/>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同比</w:t>
            </w:r>
          </w:p>
        </w:tc>
        <w:tc>
          <w:tcPr>
            <w:tcW w:w="1088" w:type="dxa"/>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平均停电用户数</w:t>
            </w:r>
          </w:p>
        </w:tc>
        <w:tc>
          <w:tcPr>
            <w:tcW w:w="1056" w:type="dxa"/>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同比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eastAsia="zh-CN"/>
              </w:rPr>
            </w:pPr>
            <w:r>
              <w:rPr>
                <w:rFonts w:hint="eastAsia" w:ascii="宋体" w:hAnsi="宋体" w:eastAsia="宋体" w:cs="宋体"/>
                <w:i w:val="0"/>
                <w:iCs w:val="0"/>
                <w:color w:val="000000"/>
                <w:kern w:val="0"/>
                <w:sz w:val="21"/>
                <w:szCs w:val="21"/>
                <w:u w:val="none"/>
                <w:lang w:val="en-US" w:eastAsia="zh-CN" w:bidi="ar"/>
              </w:rPr>
              <w:t>包头供电公司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0.40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-66.49%</w:t>
            </w:r>
          </w:p>
        </w:tc>
        <w:tc>
          <w:tcPr>
            <w:tcW w:w="1075"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0.23 </w:t>
            </w:r>
          </w:p>
        </w:tc>
        <w:tc>
          <w:tcPr>
            <w:tcW w:w="972"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0.31%</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2.71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-63.80%</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53.26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54.44%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eastAsia="zh-CN"/>
              </w:rPr>
            </w:pPr>
            <w:r>
              <w:rPr>
                <w:rFonts w:hint="eastAsia" w:ascii="宋体" w:hAnsi="宋体" w:eastAsia="宋体" w:cs="宋体"/>
                <w:i w:val="0"/>
                <w:iCs w:val="0"/>
                <w:color w:val="000000"/>
                <w:kern w:val="0"/>
                <w:sz w:val="21"/>
                <w:szCs w:val="21"/>
                <w:u w:val="none"/>
                <w:lang w:val="en-US" w:eastAsia="zh-CN" w:bidi="ar"/>
              </w:rPr>
              <w:t>包头供电公司东河供电分公司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0.32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-20.23%</w:t>
            </w:r>
          </w:p>
        </w:tc>
        <w:tc>
          <w:tcPr>
            <w:tcW w:w="1075"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0.18 </w:t>
            </w:r>
          </w:p>
        </w:tc>
        <w:tc>
          <w:tcPr>
            <w:tcW w:w="972"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2.88%</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2.13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15.37%</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32.00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132.02%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eastAsia="zh-CN"/>
              </w:rPr>
            </w:pPr>
            <w:r>
              <w:rPr>
                <w:rFonts w:hint="eastAsia" w:ascii="宋体" w:hAnsi="宋体" w:eastAsia="宋体" w:cs="宋体"/>
                <w:i w:val="0"/>
                <w:iCs w:val="0"/>
                <w:color w:val="000000"/>
                <w:kern w:val="0"/>
                <w:sz w:val="21"/>
                <w:szCs w:val="21"/>
                <w:u w:val="none"/>
                <w:lang w:val="en-US" w:eastAsia="zh-CN" w:bidi="ar"/>
              </w:rPr>
              <w:t>包头供电公司青山供电分公司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0.26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-53.05%</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0.11 </w:t>
            </w:r>
          </w:p>
        </w:tc>
        <w:tc>
          <w:tcPr>
            <w:tcW w:w="972"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-14.34%</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2.39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-20.00%</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20.67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-12.80%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包头供电公司昆区供电分公司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0.14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94.59%</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0.08 </w:t>
            </w:r>
          </w:p>
        </w:tc>
        <w:tc>
          <w:tcPr>
            <w:tcW w:w="972"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2.05%</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1.59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-25.26%</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22.22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-18.90%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包头供电公司白云供电分公司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0.06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-44.79%</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0.24 </w:t>
            </w:r>
          </w:p>
        </w:tc>
        <w:tc>
          <w:tcPr>
            <w:tcW w:w="972"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22.18%</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0.25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-95.43%</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116.00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1188.89%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包头供电公司石拐供电分公司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0.01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-99.97%</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0.01 </w:t>
            </w:r>
          </w:p>
        </w:tc>
        <w:tc>
          <w:tcPr>
            <w:tcW w:w="972"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-39.12%</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0.53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-99.38%</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12.00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-51.52%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包头供电公司高新供电分公司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0.40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-12.72%</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0.24 </w:t>
            </w:r>
          </w:p>
        </w:tc>
        <w:tc>
          <w:tcPr>
            <w:tcW w:w="972"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4.00%</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2.65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-5.36%</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24.63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-15.88%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包头供电公司新都市区供电分公司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0.16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190.60%</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0.10 </w:t>
            </w:r>
          </w:p>
        </w:tc>
        <w:tc>
          <w:tcPr>
            <w:tcW w:w="972"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6.59%</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2.79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97.84%</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25.50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139.06%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包头供电公司九原供电分公司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0.48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-77.42%</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0.20 </w:t>
            </w:r>
          </w:p>
        </w:tc>
        <w:tc>
          <w:tcPr>
            <w:tcW w:w="972"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-8.76%</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2.47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-71.83%</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71.23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53.29%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包头供电公司土右供电分公司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0.32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-80.00%</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0.15 </w:t>
            </w:r>
          </w:p>
        </w:tc>
        <w:tc>
          <w:tcPr>
            <w:tcW w:w="972"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-4.86%</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3.32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14.99%</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37.85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114.34%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包头供电公司固阳供电分公司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0.49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23.38%</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0.14 </w:t>
            </w:r>
          </w:p>
        </w:tc>
        <w:tc>
          <w:tcPr>
            <w:tcW w:w="972"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4.95%</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5.67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56.71%</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46.36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20.42%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包头供电公司达茂供电分公司</w:t>
            </w:r>
          </w:p>
        </w:tc>
        <w:tc>
          <w:tcPr>
            <w:tcW w:w="100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0.79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90.90%</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0.65 </w:t>
            </w:r>
          </w:p>
        </w:tc>
        <w:tc>
          <w:tcPr>
            <w:tcW w:w="972"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19.82%</w:t>
            </w:r>
          </w:p>
        </w:tc>
        <w:tc>
          <w:tcPr>
            <w:tcW w:w="1063"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2.26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95.24%</w:t>
            </w:r>
          </w:p>
        </w:tc>
        <w:tc>
          <w:tcPr>
            <w:tcW w:w="1088"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 xml:space="preserve">124.35 </w:t>
            </w:r>
          </w:p>
        </w:tc>
        <w:tc>
          <w:tcPr>
            <w:tcW w:w="1056" w:type="dxa"/>
            <w:vAlign w:val="center"/>
          </w:tcPr>
          <w:p>
            <w:pPr>
              <w:keepNext w:val="0"/>
              <w:keepLines w:val="0"/>
              <w:widowControl/>
              <w:suppressLineNumbers w:val="0"/>
              <w:jc w:val="center"/>
              <w:textAlignment w:val="center"/>
              <w:rPr>
                <w:rFonts w:hint="default" w:ascii="宋体" w:hAnsi="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17.43%</w:t>
            </w:r>
          </w:p>
        </w:tc>
      </w:tr>
    </w:tbl>
    <w:p>
      <w:pPr>
        <w:pStyle w:val="5"/>
        <w:keepNext/>
        <w:keepLines/>
        <w:pageBreakBefore w:val="0"/>
        <w:widowControl w:val="0"/>
        <w:numPr>
          <w:ilvl w:val="2"/>
          <w:numId w:val="4"/>
        </w:numPr>
        <w:kinsoku/>
        <w:wordWrap/>
        <w:overflowPunct/>
        <w:topLinePunct w:val="0"/>
        <w:autoSpaceDE/>
        <w:autoSpaceDN/>
        <w:bidi w:val="0"/>
        <w:adjustRightInd w:val="0"/>
        <w:snapToGrid w:val="0"/>
        <w:spacing w:before="0" w:after="0" w:line="360" w:lineRule="auto"/>
        <w:ind w:left="0" w:leftChars="0" w:firstLine="0" w:firstLineChars="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 xml:space="preserve"> </w:t>
      </w:r>
      <w:bookmarkStart w:id="24" w:name="_Toc11574"/>
      <w:r>
        <w:rPr>
          <w:rFonts w:hint="eastAsia" w:ascii="Times New Roman" w:hAnsi="Times New Roman" w:eastAsia="宋体" w:cs="Times New Roman"/>
          <w:b w:val="0"/>
          <w:bCs w:val="0"/>
          <w:color w:val="auto"/>
          <w:kern w:val="2"/>
          <w:sz w:val="24"/>
          <w:szCs w:val="24"/>
          <w:highlight w:val="none"/>
          <w:lang w:val="en-US" w:eastAsia="zh-CN" w:bidi="ar-SA"/>
        </w:rPr>
        <w:t>故障停电复电时间分布分析</w:t>
      </w:r>
      <w:bookmarkEnd w:id="24"/>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黑体" w:hAnsi="黑体" w:eastAsia="黑体" w:cs="Arial"/>
          <w:color w:val="auto"/>
          <w:sz w:val="24"/>
          <w:szCs w:val="24"/>
          <w:highlight w:val="none"/>
          <w:lang w:val="en-US" w:eastAsia="zh-CN"/>
        </w:rPr>
      </w:pPr>
      <w:r>
        <w:rPr>
          <w:rFonts w:hint="eastAsia" w:ascii="黑体" w:hAnsi="黑体" w:eastAsia="黑体" w:cs="Arial"/>
          <w:color w:val="auto"/>
          <w:sz w:val="24"/>
          <w:szCs w:val="24"/>
          <w:highlight w:val="none"/>
        </w:rPr>
        <w:t>表</w:t>
      </w:r>
      <w:r>
        <w:rPr>
          <w:rFonts w:hint="eastAsia" w:ascii="黑体" w:hAnsi="黑体" w:eastAsia="黑体" w:cs="Arial"/>
          <w:color w:val="auto"/>
          <w:sz w:val="24"/>
          <w:szCs w:val="24"/>
          <w:highlight w:val="none"/>
          <w:lang w:val="en-US" w:eastAsia="zh-CN"/>
        </w:rPr>
        <w:t xml:space="preserve">10  </w:t>
      </w:r>
      <w:r>
        <w:rPr>
          <w:rFonts w:hint="eastAsia" w:ascii="黑体" w:hAnsi="黑体" w:eastAsia="黑体" w:cs="Arial"/>
          <w:color w:val="auto"/>
          <w:sz w:val="24"/>
          <w:szCs w:val="24"/>
          <w:highlight w:val="none"/>
        </w:rPr>
        <w:t>故障停电复电时间</w:t>
      </w:r>
      <w:r>
        <w:rPr>
          <w:rFonts w:hint="eastAsia" w:ascii="黑体" w:hAnsi="黑体" w:eastAsia="黑体" w:cs="Arial"/>
          <w:color w:val="auto"/>
          <w:sz w:val="24"/>
          <w:szCs w:val="24"/>
          <w:highlight w:val="none"/>
          <w:lang w:val="en-US" w:eastAsia="zh-CN"/>
        </w:rPr>
        <w:t>分布情况</w:t>
      </w:r>
    </w:p>
    <w:p>
      <w:pPr>
        <w:widowControl/>
        <w:jc w:val="right"/>
        <w:rPr>
          <w:rFonts w:hint="eastAsia"/>
          <w:lang w:val="en-US" w:eastAsia="zh-CN"/>
        </w:rPr>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color w:val="auto"/>
          <w:kern w:val="0"/>
          <w:lang w:val="en-US" w:eastAsia="zh-CN"/>
        </w:rPr>
        <w:t>次</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bl>
      <w:tblPr>
        <w:tblStyle w:val="29"/>
        <w:tblW w:w="92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99"/>
        <w:gridCol w:w="2944"/>
        <w:gridCol w:w="2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停电时间/小时</w:t>
            </w:r>
          </w:p>
        </w:tc>
        <w:tc>
          <w:tcPr>
            <w:tcW w:w="2944"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次数/次</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占总次数比例/%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x≤1</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42</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1&lt;x≤2</w:t>
            </w:r>
          </w:p>
        </w:tc>
        <w:tc>
          <w:tcPr>
            <w:tcW w:w="2944"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26</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2&lt;x≤3</w:t>
            </w:r>
          </w:p>
        </w:tc>
        <w:tc>
          <w:tcPr>
            <w:tcW w:w="2944"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17</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14.29%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3&lt;x≤4</w:t>
            </w:r>
          </w:p>
        </w:tc>
        <w:tc>
          <w:tcPr>
            <w:tcW w:w="2944"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12</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4&lt;x≤5</w:t>
            </w:r>
          </w:p>
        </w:tc>
        <w:tc>
          <w:tcPr>
            <w:tcW w:w="2944"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6</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5&lt;x≤6</w:t>
            </w:r>
          </w:p>
        </w:tc>
        <w:tc>
          <w:tcPr>
            <w:tcW w:w="2944"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6&lt;x≤7</w:t>
            </w:r>
          </w:p>
        </w:tc>
        <w:tc>
          <w:tcPr>
            <w:tcW w:w="2944"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7&lt;x≤8</w:t>
            </w:r>
          </w:p>
        </w:tc>
        <w:tc>
          <w:tcPr>
            <w:tcW w:w="2944"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4.20%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8&lt;x≤9</w:t>
            </w:r>
          </w:p>
        </w:tc>
        <w:tc>
          <w:tcPr>
            <w:tcW w:w="2944"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9&lt;x</w:t>
            </w:r>
          </w:p>
        </w:tc>
        <w:tc>
          <w:tcPr>
            <w:tcW w:w="2944"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7</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合计</w:t>
            </w:r>
          </w:p>
        </w:tc>
        <w:tc>
          <w:tcPr>
            <w:tcW w:w="2944"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119</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100.00%</w:t>
            </w:r>
          </w:p>
        </w:tc>
      </w:tr>
    </w:tbl>
    <w:p>
      <w:pPr>
        <w:pStyle w:val="5"/>
        <w:keepNext/>
        <w:keepLines/>
        <w:pageBreakBefore w:val="0"/>
        <w:widowControl w:val="0"/>
        <w:numPr>
          <w:ilvl w:val="2"/>
          <w:numId w:val="4"/>
        </w:numPr>
        <w:kinsoku/>
        <w:wordWrap/>
        <w:overflowPunct/>
        <w:topLinePunct w:val="0"/>
        <w:autoSpaceDE/>
        <w:autoSpaceDN/>
        <w:bidi w:val="0"/>
        <w:adjustRightInd w:val="0"/>
        <w:snapToGrid w:val="0"/>
        <w:spacing w:before="0" w:after="0" w:line="312" w:lineRule="auto"/>
        <w:ind w:left="0" w:leftChars="0" w:firstLine="0" w:firstLineChars="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 xml:space="preserve"> </w:t>
      </w:r>
      <w:bookmarkStart w:id="25" w:name="_Toc27244"/>
      <w:r>
        <w:rPr>
          <w:rFonts w:hint="eastAsia" w:ascii="Times New Roman" w:hAnsi="Times New Roman" w:eastAsia="宋体" w:cs="Times New Roman"/>
          <w:b w:val="0"/>
          <w:bCs w:val="0"/>
          <w:color w:val="auto"/>
          <w:kern w:val="2"/>
          <w:sz w:val="24"/>
          <w:szCs w:val="24"/>
          <w:highlight w:val="none"/>
          <w:lang w:val="en-US" w:eastAsia="zh-CN" w:bidi="ar-SA"/>
        </w:rPr>
        <w:t>故障重复停电分析</w:t>
      </w:r>
      <w:bookmarkEnd w:id="25"/>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黑体" w:hAnsi="黑体" w:eastAsia="黑体" w:cs="Arial"/>
          <w:color w:val="auto"/>
          <w:sz w:val="24"/>
          <w:szCs w:val="24"/>
          <w:highlight w:val="none"/>
          <w:lang w:val="en-US" w:eastAsia="zh-CN"/>
        </w:rPr>
      </w:pPr>
      <w:r>
        <w:rPr>
          <w:rFonts w:hint="eastAsia" w:ascii="黑体" w:hAnsi="黑体" w:eastAsia="黑体" w:cs="Arial"/>
          <w:color w:val="auto"/>
          <w:sz w:val="24"/>
          <w:szCs w:val="24"/>
          <w:highlight w:val="none"/>
          <w:lang w:val="en-US" w:eastAsia="zh-CN"/>
        </w:rPr>
        <w:t xml:space="preserve">表11  </w:t>
      </w:r>
      <w:r>
        <w:rPr>
          <w:rFonts w:hint="eastAsia" w:ascii="黑体" w:hAnsi="黑体" w:eastAsia="黑体" w:cs="Arial"/>
          <w:color w:val="auto"/>
          <w:sz w:val="24"/>
          <w:szCs w:val="24"/>
          <w:highlight w:val="none"/>
        </w:rPr>
        <w:t>故障重复停电</w:t>
      </w:r>
      <w:r>
        <w:rPr>
          <w:rFonts w:hint="eastAsia" w:ascii="黑体" w:hAnsi="黑体" w:eastAsia="黑体" w:cs="Arial"/>
          <w:color w:val="auto"/>
          <w:sz w:val="24"/>
          <w:szCs w:val="24"/>
          <w:highlight w:val="none"/>
          <w:lang w:val="en-US" w:eastAsia="zh-CN"/>
        </w:rPr>
        <w:t>情况</w:t>
      </w:r>
    </w:p>
    <w:p>
      <w:pPr>
        <w:pStyle w:val="12"/>
        <w:jc w:val="right"/>
        <w:rPr>
          <w:rFonts w:hint="eastAsia"/>
          <w:lang w:val="en-US" w:eastAsia="zh-CN"/>
        </w:rPr>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i w:val="0"/>
          <w:color w:val="000000"/>
          <w:kern w:val="0"/>
          <w:sz w:val="20"/>
          <w:szCs w:val="20"/>
          <w:u w:val="none"/>
          <w:lang w:val="en-US" w:eastAsia="zh-CN" w:bidi="ar"/>
        </w:rPr>
        <w:t>户、</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cs="宋体"/>
          <w:color w:val="auto"/>
          <w:kern w:val="0"/>
          <w:lang w:val="en-US" w:eastAsia="zh-CN"/>
        </w:rPr>
        <w:t>次</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p>
    <w:tbl>
      <w:tblPr>
        <w:tblStyle w:val="29"/>
        <w:tblW w:w="8032" w:type="dxa"/>
        <w:tblInd w:w="0" w:type="dxa"/>
        <w:tblLayout w:type="fixed"/>
        <w:tblCellMar>
          <w:top w:w="0" w:type="dxa"/>
          <w:left w:w="108" w:type="dxa"/>
          <w:bottom w:w="0" w:type="dxa"/>
          <w:right w:w="108" w:type="dxa"/>
        </w:tblCellMar>
      </w:tblPr>
      <w:tblGrid>
        <w:gridCol w:w="1798"/>
        <w:gridCol w:w="1477"/>
        <w:gridCol w:w="1016"/>
        <w:gridCol w:w="1772"/>
        <w:gridCol w:w="862"/>
        <w:gridCol w:w="1107"/>
      </w:tblGrid>
      <w:tr>
        <w:tblPrEx>
          <w:tblCellMar>
            <w:top w:w="0" w:type="dxa"/>
            <w:left w:w="108" w:type="dxa"/>
            <w:bottom w:w="0" w:type="dxa"/>
            <w:right w:w="108" w:type="dxa"/>
          </w:tblCellMar>
        </w:tblPrEx>
        <w:trPr>
          <w:trHeight w:val="397" w:hRule="atLeast"/>
        </w:trPr>
        <w:tc>
          <w:tcPr>
            <w:tcW w:w="1798" w:type="dxa"/>
            <w:tcBorders>
              <w:top w:val="single" w:color="000000" w:sz="4" w:space="0"/>
              <w:left w:val="single" w:color="000000" w:sz="4" w:space="0"/>
              <w:bottom w:val="single" w:color="auto" w:sz="4" w:space="0"/>
              <w:right w:val="single" w:color="000000" w:sz="4" w:space="0"/>
            </w:tcBorders>
            <w:shd w:val="clear" w:color="000000" w:fill="auto"/>
            <w:vAlign w:val="center"/>
          </w:tcPr>
          <w:p>
            <w:pPr>
              <w:widowControl/>
              <w:jc w:val="center"/>
              <w:rPr>
                <w:rFonts w:ascii="宋体" w:hAnsi="宋体" w:cs="宋体"/>
                <w:kern w:val="0"/>
                <w:highlight w:val="none"/>
              </w:rPr>
            </w:pPr>
            <w:r>
              <w:rPr>
                <w:rFonts w:hint="eastAsia" w:ascii="宋体" w:hAnsi="宋体" w:cs="宋体"/>
                <w:kern w:val="0"/>
                <w:highlight w:val="none"/>
              </w:rPr>
              <w:t>单位名称</w:t>
            </w:r>
          </w:p>
        </w:tc>
        <w:tc>
          <w:tcPr>
            <w:tcW w:w="1477"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重停用户数</w:t>
            </w:r>
          </w:p>
        </w:tc>
        <w:tc>
          <w:tcPr>
            <w:tcW w:w="1016"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同比</w:t>
            </w:r>
          </w:p>
        </w:tc>
        <w:tc>
          <w:tcPr>
            <w:tcW w:w="1772"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今年重停时户数</w:t>
            </w:r>
          </w:p>
        </w:tc>
        <w:tc>
          <w:tcPr>
            <w:tcW w:w="862"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同比</w:t>
            </w:r>
          </w:p>
        </w:tc>
        <w:tc>
          <w:tcPr>
            <w:tcW w:w="1107"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最多次数</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w:t>
            </w:r>
          </w:p>
        </w:tc>
        <w:tc>
          <w:tcPr>
            <w:tcW w:w="1477"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572</w:t>
            </w:r>
          </w:p>
        </w:tc>
        <w:tc>
          <w:tcPr>
            <w:tcW w:w="101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1.6581%</w:t>
            </w:r>
          </w:p>
        </w:tc>
        <w:tc>
          <w:tcPr>
            <w:tcW w:w="177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2501.319</w:t>
            </w:r>
          </w:p>
        </w:tc>
        <w:tc>
          <w:tcPr>
            <w:tcW w:w="86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1614.139</w:t>
            </w:r>
          </w:p>
        </w:tc>
        <w:tc>
          <w:tcPr>
            <w:tcW w:w="1107"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包头供电公司东河供电分公司</w:t>
            </w:r>
          </w:p>
        </w:tc>
        <w:tc>
          <w:tcPr>
            <w:tcW w:w="1477"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0.0%</w:t>
            </w:r>
          </w:p>
        </w:tc>
        <w:tc>
          <w:tcPr>
            <w:tcW w:w="177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107"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包头供电公司青山供电分公司</w:t>
            </w:r>
          </w:p>
        </w:tc>
        <w:tc>
          <w:tcPr>
            <w:tcW w:w="1477"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-1.4477%</w:t>
            </w:r>
          </w:p>
        </w:tc>
        <w:tc>
          <w:tcPr>
            <w:tcW w:w="177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-180.4</w:t>
            </w:r>
          </w:p>
        </w:tc>
        <w:tc>
          <w:tcPr>
            <w:tcW w:w="1107"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包头供电公司昆区供电分公司</w:t>
            </w:r>
          </w:p>
        </w:tc>
        <w:tc>
          <w:tcPr>
            <w:tcW w:w="147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0.0%</w:t>
            </w:r>
          </w:p>
        </w:tc>
        <w:tc>
          <w:tcPr>
            <w:tcW w:w="1772"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10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包头供电公司白云供电分公司</w:t>
            </w:r>
          </w:p>
        </w:tc>
        <w:tc>
          <w:tcPr>
            <w:tcW w:w="147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0.0%</w:t>
            </w:r>
          </w:p>
        </w:tc>
        <w:tc>
          <w:tcPr>
            <w:tcW w:w="1772"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10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包头供电公司石拐供电分公司</w:t>
            </w:r>
          </w:p>
        </w:tc>
        <w:tc>
          <w:tcPr>
            <w:tcW w:w="147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0.0%</w:t>
            </w:r>
          </w:p>
        </w:tc>
        <w:tc>
          <w:tcPr>
            <w:tcW w:w="1772"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10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包头供电公司高新供电分公司</w:t>
            </w:r>
          </w:p>
        </w:tc>
        <w:tc>
          <w:tcPr>
            <w:tcW w:w="147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0.0%</w:t>
            </w:r>
          </w:p>
        </w:tc>
        <w:tc>
          <w:tcPr>
            <w:tcW w:w="1772"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10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包头供电公司新都市区供电分公司</w:t>
            </w:r>
          </w:p>
        </w:tc>
        <w:tc>
          <w:tcPr>
            <w:tcW w:w="147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01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0.484%</w:t>
            </w:r>
          </w:p>
        </w:tc>
        <w:tc>
          <w:tcPr>
            <w:tcW w:w="1772"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20.35</w:t>
            </w:r>
          </w:p>
        </w:tc>
        <w:tc>
          <w:tcPr>
            <w:tcW w:w="862"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20.35</w:t>
            </w:r>
          </w:p>
        </w:tc>
        <w:tc>
          <w:tcPr>
            <w:tcW w:w="110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包头供电公司九原供电分公司</w:t>
            </w:r>
          </w:p>
        </w:tc>
        <w:tc>
          <w:tcPr>
            <w:tcW w:w="147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-0.4903%</w:t>
            </w:r>
          </w:p>
        </w:tc>
        <w:tc>
          <w:tcPr>
            <w:tcW w:w="1772"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-364.34</w:t>
            </w:r>
          </w:p>
        </w:tc>
        <w:tc>
          <w:tcPr>
            <w:tcW w:w="110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包头供电公司土右供电分公司</w:t>
            </w:r>
          </w:p>
        </w:tc>
        <w:tc>
          <w:tcPr>
            <w:tcW w:w="147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0.0%</w:t>
            </w:r>
          </w:p>
        </w:tc>
        <w:tc>
          <w:tcPr>
            <w:tcW w:w="1772"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10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包头供电公司固阳供电分公司</w:t>
            </w:r>
          </w:p>
        </w:tc>
        <w:tc>
          <w:tcPr>
            <w:tcW w:w="147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-1.2666%</w:t>
            </w:r>
          </w:p>
        </w:tc>
        <w:tc>
          <w:tcPr>
            <w:tcW w:w="1772"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-342.44</w:t>
            </w:r>
          </w:p>
        </w:tc>
        <w:tc>
          <w:tcPr>
            <w:tcW w:w="110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包头供电公司达茂供电分公司</w:t>
            </w:r>
          </w:p>
        </w:tc>
        <w:tc>
          <w:tcPr>
            <w:tcW w:w="147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567</w:t>
            </w:r>
          </w:p>
        </w:tc>
        <w:tc>
          <w:tcPr>
            <w:tcW w:w="101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12.8049%</w:t>
            </w:r>
          </w:p>
        </w:tc>
        <w:tc>
          <w:tcPr>
            <w:tcW w:w="1772"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2480.969</w:t>
            </w:r>
          </w:p>
        </w:tc>
        <w:tc>
          <w:tcPr>
            <w:tcW w:w="862"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2480.969</w:t>
            </w:r>
          </w:p>
        </w:tc>
        <w:tc>
          <w:tcPr>
            <w:tcW w:w="110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r>
    </w:tbl>
    <w:p>
      <w:pPr>
        <w:pStyle w:val="5"/>
        <w:keepNext/>
        <w:keepLines/>
        <w:pageBreakBefore w:val="0"/>
        <w:widowControl w:val="0"/>
        <w:numPr>
          <w:ilvl w:val="2"/>
          <w:numId w:val="4"/>
        </w:numPr>
        <w:kinsoku/>
        <w:wordWrap/>
        <w:overflowPunct/>
        <w:topLinePunct w:val="0"/>
        <w:autoSpaceDE/>
        <w:autoSpaceDN/>
        <w:bidi w:val="0"/>
        <w:adjustRightInd w:val="0"/>
        <w:snapToGrid w:val="0"/>
        <w:spacing w:before="0" w:after="0" w:line="312" w:lineRule="auto"/>
        <w:ind w:left="0" w:leftChars="0" w:firstLine="0" w:firstLineChars="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 xml:space="preserve"> </w:t>
      </w:r>
      <w:bookmarkStart w:id="26" w:name="_Toc24056"/>
      <w:r>
        <w:rPr>
          <w:rFonts w:hint="eastAsia" w:ascii="Times New Roman" w:hAnsi="Times New Roman" w:eastAsia="宋体" w:cs="Times New Roman"/>
          <w:b w:val="0"/>
          <w:bCs w:val="0"/>
          <w:color w:val="auto"/>
          <w:kern w:val="2"/>
          <w:sz w:val="24"/>
          <w:szCs w:val="24"/>
          <w:highlight w:val="none"/>
          <w:lang w:val="en-US" w:eastAsia="zh-CN" w:bidi="ar-SA"/>
        </w:rPr>
        <w:t>故障停电原因分类分析</w:t>
      </w:r>
      <w:bookmarkEnd w:id="26"/>
    </w:p>
    <w:bookmarkEnd w:id="18"/>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黑体" w:hAnsi="黑体" w:eastAsia="黑体" w:cs="Arial"/>
          <w:color w:val="auto"/>
          <w:sz w:val="24"/>
          <w:szCs w:val="24"/>
          <w:highlight w:val="none"/>
          <w:lang w:val="en-US" w:eastAsia="zh-CN"/>
        </w:rPr>
      </w:pPr>
      <w:r>
        <w:rPr>
          <w:rFonts w:hint="eastAsia" w:ascii="黑体" w:hAnsi="黑体" w:eastAsia="黑体" w:cs="Arial"/>
          <w:color w:val="auto"/>
          <w:sz w:val="24"/>
          <w:szCs w:val="24"/>
          <w:highlight w:val="none"/>
          <w:lang w:val="en-US" w:eastAsia="zh-CN"/>
        </w:rPr>
        <w:t>表12  故障停电责任原因情况</w:t>
      </w:r>
    </w:p>
    <w:p>
      <w:pPr>
        <w:widowControl/>
        <w:jc w:val="right"/>
        <w:rPr>
          <w:rFonts w:hint="default"/>
          <w:lang w:val="en-US" w:eastAsia="zh-CN"/>
        </w:rPr>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color w:val="auto"/>
          <w:kern w:val="0"/>
          <w:lang w:val="en-US" w:eastAsia="zh-CN"/>
        </w:rPr>
        <w:t>次、</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w:t>
      </w:r>
      <w:r>
        <w:rPr>
          <w:rFonts w:hint="eastAsia" w:ascii="宋体" w:hAnsi="宋体" w:cs="宋体"/>
          <w:color w:val="auto"/>
          <w:kern w:val="0"/>
          <w:lang w:val="en-US" w:eastAsia="zh-CN"/>
        </w:rPr>
        <w:t>次/户、h/次、户/次</w:t>
      </w:r>
    </w:p>
    <w:tbl>
      <w:tblPr>
        <w:tblStyle w:val="29"/>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179"/>
        <w:gridCol w:w="2231"/>
        <w:gridCol w:w="1142"/>
        <w:gridCol w:w="1142"/>
        <w:gridCol w:w="1142"/>
        <w:gridCol w:w="1146"/>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44" w:hRule="atLeast"/>
          <w:tblHeader/>
          <w:jc w:val="center"/>
        </w:trPr>
        <w:tc>
          <w:tcPr>
            <w:tcW w:w="1179"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责任原因</w:t>
            </w:r>
            <w:r>
              <w:rPr>
                <w:rFonts w:hint="eastAsia" w:ascii="宋体" w:hAnsi="宋体" w:eastAsia="宋体" w:cs="宋体"/>
                <w:color w:val="auto"/>
                <w:kern w:val="0"/>
                <w:sz w:val="21"/>
                <w:szCs w:val="21"/>
                <w:highlight w:val="none"/>
                <w:lang w:val="en-US" w:eastAsia="zh-CN"/>
              </w:rPr>
              <w:t>码</w:t>
            </w:r>
          </w:p>
        </w:tc>
        <w:tc>
          <w:tcPr>
            <w:tcW w:w="2231"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责任原因</w:t>
            </w:r>
          </w:p>
        </w:tc>
        <w:tc>
          <w:tcPr>
            <w:tcW w:w="1142" w:type="dxa"/>
            <w:vAlign w:val="center"/>
          </w:tcPr>
          <w:p>
            <w:pPr>
              <w:widowControl/>
              <w:jc w:val="center"/>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rPr>
              <w:t>停电次数</w:t>
            </w:r>
          </w:p>
        </w:tc>
        <w:tc>
          <w:tcPr>
            <w:tcW w:w="1142" w:type="dxa"/>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平均停电时间</w:t>
            </w:r>
          </w:p>
        </w:tc>
        <w:tc>
          <w:tcPr>
            <w:tcW w:w="1142" w:type="dxa"/>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占故障停电比例</w:t>
            </w:r>
          </w:p>
        </w:tc>
        <w:tc>
          <w:tcPr>
            <w:tcW w:w="1146" w:type="dxa"/>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停电时间同比</w:t>
            </w:r>
          </w:p>
        </w:tc>
        <w:tc>
          <w:tcPr>
            <w:tcW w:w="1146" w:type="dxa"/>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降幅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1179"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511</w:t>
            </w:r>
          </w:p>
        </w:tc>
        <w:tc>
          <w:tcPr>
            <w:tcW w:w="2231"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10kV配电网设施故障</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107</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0.3655</w:t>
            </w:r>
          </w:p>
        </w:tc>
        <w:tc>
          <w:tcPr>
            <w:tcW w:w="114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216.27%</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-0.794</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-68.48%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1179"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5111</w:t>
            </w:r>
          </w:p>
        </w:tc>
        <w:tc>
          <w:tcPr>
            <w:tcW w:w="2231"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设计施工</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1</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0.024</w:t>
            </w:r>
          </w:p>
        </w:tc>
        <w:tc>
          <w:tcPr>
            <w:tcW w:w="114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14.20%</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0.0221</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1163.16%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82" w:hRule="atLeast"/>
          <w:jc w:val="center"/>
        </w:trPr>
        <w:tc>
          <w:tcPr>
            <w:tcW w:w="1179"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5112</w:t>
            </w:r>
          </w:p>
        </w:tc>
        <w:tc>
          <w:tcPr>
            <w:tcW w:w="2231"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设备原因</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18</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0.0462</w:t>
            </w:r>
          </w:p>
        </w:tc>
        <w:tc>
          <w:tcPr>
            <w:tcW w:w="114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27.34%</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0.0146</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1179"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5113</w:t>
            </w:r>
          </w:p>
        </w:tc>
        <w:tc>
          <w:tcPr>
            <w:tcW w:w="2231"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运行维护</w:t>
            </w:r>
          </w:p>
        </w:tc>
        <w:tc>
          <w:tcPr>
            <w:tcW w:w="114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4</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0.0233</w:t>
            </w:r>
          </w:p>
        </w:tc>
        <w:tc>
          <w:tcPr>
            <w:tcW w:w="114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13.79%</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0.0165</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242.65%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71" w:hRule="atLeast"/>
          <w:jc w:val="center"/>
        </w:trPr>
        <w:tc>
          <w:tcPr>
            <w:tcW w:w="1179"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5114</w:t>
            </w:r>
          </w:p>
        </w:tc>
        <w:tc>
          <w:tcPr>
            <w:tcW w:w="2231"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外力因素</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28</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0.0807</w:t>
            </w:r>
          </w:p>
        </w:tc>
        <w:tc>
          <w:tcPr>
            <w:tcW w:w="114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47.75%</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-0.0475</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1179"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5115</w:t>
            </w:r>
          </w:p>
        </w:tc>
        <w:tc>
          <w:tcPr>
            <w:tcW w:w="2231"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自然因素</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15</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0.0934</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55.27%</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-0.7557</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1179"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5116</w:t>
            </w:r>
          </w:p>
        </w:tc>
        <w:tc>
          <w:tcPr>
            <w:tcW w:w="2231"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用户影响</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41</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0.0979</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57.93%</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-0.044</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1179"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512</w:t>
            </w:r>
          </w:p>
        </w:tc>
        <w:tc>
          <w:tcPr>
            <w:tcW w:w="2231"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10kV及以上输变电设施故障</w:t>
            </w:r>
          </w:p>
        </w:tc>
        <w:tc>
          <w:tcPr>
            <w:tcW w:w="114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0.0379</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22.43%</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-0.0065</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1179"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513</w:t>
            </w:r>
          </w:p>
        </w:tc>
        <w:tc>
          <w:tcPr>
            <w:tcW w:w="2231"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低压设施故障</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2</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0.0001</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0.06%</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-0.0001</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1179"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514</w:t>
            </w:r>
          </w:p>
        </w:tc>
        <w:tc>
          <w:tcPr>
            <w:tcW w:w="2231"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发电设施故障</w:t>
            </w:r>
          </w:p>
        </w:tc>
        <w:tc>
          <w:tcPr>
            <w:tcW w:w="114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1142"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0.00%</w:t>
            </w:r>
          </w:p>
        </w:tc>
        <w:tc>
          <w:tcPr>
            <w:tcW w:w="114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1179"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51</w:t>
            </w:r>
          </w:p>
        </w:tc>
        <w:tc>
          <w:tcPr>
            <w:tcW w:w="2231"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故障合计</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119</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0.4035</w:t>
            </w:r>
          </w:p>
        </w:tc>
        <w:tc>
          <w:tcPr>
            <w:tcW w:w="114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238.76%</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-0.8005</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-66.49%</w:t>
            </w:r>
          </w:p>
        </w:tc>
      </w:tr>
    </w:tbl>
    <w:p>
      <w:pPr>
        <w:pStyle w:val="3"/>
        <w:keepNext/>
        <w:keepLines/>
        <w:pageBreakBefore w:val="0"/>
        <w:widowControl w:val="0"/>
        <w:numPr>
          <w:ilvl w:val="0"/>
          <w:numId w:val="4"/>
        </w:numPr>
        <w:kinsoku/>
        <w:wordWrap/>
        <w:overflowPunct/>
        <w:topLinePunct w:val="0"/>
        <w:autoSpaceDE/>
        <w:autoSpaceDN/>
        <w:bidi w:val="0"/>
        <w:adjustRightInd/>
        <w:snapToGrid w:val="0"/>
        <w:spacing w:before="0" w:after="0" w:line="312" w:lineRule="auto"/>
        <w:ind w:left="0" w:leftChars="0" w:firstLine="0" w:firstLineChars="0"/>
        <w:jc w:val="both"/>
        <w:textAlignment w:val="auto"/>
        <w:rPr>
          <w:rFonts w:hint="default" w:ascii="宋体" w:hAnsi="宋体" w:eastAsia="宋体" w:cs="Times New Roman"/>
          <w:b/>
          <w:bCs/>
          <w:sz w:val="28"/>
          <w:szCs w:val="28"/>
          <w:highlight w:val="none"/>
          <w:lang w:val="en-US" w:eastAsia="zh-CN" w:bidi="ar-SA"/>
        </w:rPr>
      </w:pPr>
      <w:bookmarkStart w:id="27" w:name="_Toc503299641"/>
      <w:r>
        <w:rPr>
          <w:rFonts w:hint="eastAsia" w:ascii="宋体" w:hAnsi="宋体" w:eastAsia="宋体" w:cs="Times New Roman"/>
          <w:b/>
          <w:bCs/>
          <w:sz w:val="28"/>
          <w:szCs w:val="28"/>
          <w:highlight w:val="none"/>
          <w:lang w:val="en-US" w:eastAsia="zh-CN" w:bidi="ar-SA"/>
        </w:rPr>
        <w:t xml:space="preserve"> </w:t>
      </w:r>
      <w:bookmarkStart w:id="28" w:name="_Toc18774"/>
      <w:bookmarkStart w:id="29" w:name="_Toc6778"/>
      <w:r>
        <w:rPr>
          <w:rFonts w:hint="eastAsia" w:ascii="宋体" w:hAnsi="宋体" w:eastAsia="宋体" w:cs="Times New Roman"/>
          <w:b/>
          <w:bCs/>
          <w:sz w:val="28"/>
          <w:szCs w:val="28"/>
          <w:highlight w:val="none"/>
          <w:lang w:val="en-US" w:eastAsia="zh-CN" w:bidi="ar-SA"/>
        </w:rPr>
        <w:t>不停电作业分析</w:t>
      </w:r>
      <w:bookmarkEnd w:id="28"/>
      <w:bookmarkEnd w:id="29"/>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黑体" w:hAnsi="黑体" w:eastAsia="黑体" w:cs="Arial"/>
          <w:color w:val="auto"/>
          <w:sz w:val="24"/>
          <w:szCs w:val="24"/>
          <w:highlight w:val="none"/>
          <w:lang w:val="en-US" w:eastAsia="zh-CN"/>
        </w:rPr>
      </w:pPr>
      <w:r>
        <w:rPr>
          <w:rFonts w:hint="eastAsia" w:ascii="黑体" w:hAnsi="黑体" w:eastAsia="黑体" w:cs="Arial"/>
          <w:color w:val="auto"/>
          <w:sz w:val="24"/>
          <w:szCs w:val="24"/>
          <w:highlight w:val="none"/>
          <w:lang w:val="en-US" w:eastAsia="zh-CN"/>
        </w:rPr>
        <w:t>表13  不停电作业开展情况</w:t>
      </w:r>
    </w:p>
    <w:p>
      <w:pPr>
        <w:widowControl/>
        <w:jc w:val="right"/>
        <w:rPr>
          <w:rFonts w:hint="default"/>
          <w:lang w:val="en-US" w:eastAsia="zh-CN"/>
        </w:rPr>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color w:val="auto"/>
          <w:kern w:val="0"/>
          <w:lang w:val="en-US" w:eastAsia="zh-CN"/>
        </w:rPr>
        <w:t>次、</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p>
    <w:tbl>
      <w:tblPr>
        <w:tblStyle w:val="29"/>
        <w:tblW w:w="9281" w:type="dxa"/>
        <w:tblInd w:w="0" w:type="dxa"/>
        <w:tblLayout w:type="fixed"/>
        <w:tblCellMar>
          <w:top w:w="0" w:type="dxa"/>
          <w:left w:w="108" w:type="dxa"/>
          <w:bottom w:w="0" w:type="dxa"/>
          <w:right w:w="108" w:type="dxa"/>
        </w:tblCellMar>
      </w:tblPr>
      <w:tblGrid>
        <w:gridCol w:w="1400"/>
        <w:gridCol w:w="1575"/>
        <w:gridCol w:w="1575"/>
        <w:gridCol w:w="1428"/>
        <w:gridCol w:w="2210"/>
        <w:gridCol w:w="1093"/>
      </w:tblGrid>
      <w:tr>
        <w:tblPrEx>
          <w:tblCellMar>
            <w:top w:w="0" w:type="dxa"/>
            <w:left w:w="108" w:type="dxa"/>
            <w:bottom w:w="0" w:type="dxa"/>
            <w:right w:w="108" w:type="dxa"/>
          </w:tblCellMar>
        </w:tblPrEx>
        <w:trPr>
          <w:trHeight w:val="397" w:hRule="atLeast"/>
        </w:trPr>
        <w:tc>
          <w:tcPr>
            <w:tcW w:w="1400"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特殊事件</w:t>
            </w:r>
          </w:p>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名称</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作业次数</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同比</w:t>
            </w:r>
          </w:p>
        </w:tc>
        <w:tc>
          <w:tcPr>
            <w:tcW w:w="1428"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作业时户数</w:t>
            </w:r>
          </w:p>
        </w:tc>
        <w:tc>
          <w:tcPr>
            <w:tcW w:w="2210"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减少的平均停电时间</w:t>
            </w:r>
          </w:p>
        </w:tc>
        <w:tc>
          <w:tcPr>
            <w:tcW w:w="1093"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同比</w:t>
            </w:r>
          </w:p>
        </w:tc>
      </w:tr>
      <w:tr>
        <w:tblPrEx>
          <w:tblCellMar>
            <w:top w:w="0" w:type="dxa"/>
            <w:left w:w="108" w:type="dxa"/>
            <w:bottom w:w="0" w:type="dxa"/>
            <w:right w:w="108" w:type="dxa"/>
          </w:tblCellMar>
        </w:tblPrEx>
        <w:trPr>
          <w:trHeight w:val="397" w:hRule="atLeast"/>
        </w:trPr>
        <w:tc>
          <w:tcPr>
            <w:tcW w:w="1400"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带电作业</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1432</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674</w:t>
            </w:r>
          </w:p>
        </w:tc>
        <w:tc>
          <w:tcPr>
            <w:tcW w:w="1428"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32064.85 </w:t>
            </w:r>
          </w:p>
        </w:tc>
        <w:tc>
          <w:tcPr>
            <w:tcW w:w="2210"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1.15 </w:t>
            </w:r>
          </w:p>
        </w:tc>
        <w:tc>
          <w:tcPr>
            <w:tcW w:w="1093"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-0.34 </w:t>
            </w:r>
          </w:p>
        </w:tc>
      </w:tr>
      <w:tr>
        <w:tblPrEx>
          <w:tblCellMar>
            <w:top w:w="0" w:type="dxa"/>
            <w:left w:w="108" w:type="dxa"/>
            <w:bottom w:w="0" w:type="dxa"/>
            <w:right w:w="108" w:type="dxa"/>
          </w:tblCellMar>
        </w:tblPrEx>
        <w:trPr>
          <w:trHeight w:val="397" w:hRule="atLeast"/>
        </w:trPr>
        <w:tc>
          <w:tcPr>
            <w:tcW w:w="1400"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临时供电</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428"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13185.05 </w:t>
            </w:r>
          </w:p>
        </w:tc>
        <w:tc>
          <w:tcPr>
            <w:tcW w:w="2210"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0.47 </w:t>
            </w:r>
          </w:p>
        </w:tc>
        <w:tc>
          <w:tcPr>
            <w:tcW w:w="1093"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-3.36 </w:t>
            </w:r>
          </w:p>
        </w:tc>
      </w:tr>
      <w:tr>
        <w:tblPrEx>
          <w:tblCellMar>
            <w:top w:w="0" w:type="dxa"/>
            <w:left w:w="108" w:type="dxa"/>
            <w:bottom w:w="0" w:type="dxa"/>
            <w:right w:w="108" w:type="dxa"/>
          </w:tblCellMar>
        </w:tblPrEx>
        <w:trPr>
          <w:trHeight w:val="397" w:hRule="atLeast"/>
        </w:trPr>
        <w:tc>
          <w:tcPr>
            <w:tcW w:w="1400"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不停电倒电</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81</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428"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 xml:space="preserve">105912.73 </w:t>
            </w:r>
          </w:p>
        </w:tc>
        <w:tc>
          <w:tcPr>
            <w:tcW w:w="2210"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3.81 </w:t>
            </w:r>
          </w:p>
        </w:tc>
        <w:tc>
          <w:tcPr>
            <w:tcW w:w="1093"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0.68 </w:t>
            </w:r>
          </w:p>
        </w:tc>
      </w:tr>
    </w:tbl>
    <w:p>
      <w:pPr>
        <w:pStyle w:val="3"/>
        <w:keepNext/>
        <w:keepLines/>
        <w:pageBreakBefore w:val="0"/>
        <w:widowControl w:val="0"/>
        <w:numPr>
          <w:ilvl w:val="0"/>
          <w:numId w:val="4"/>
        </w:numPr>
        <w:kinsoku/>
        <w:wordWrap/>
        <w:overflowPunct/>
        <w:topLinePunct w:val="0"/>
        <w:autoSpaceDE/>
        <w:autoSpaceDN/>
        <w:bidi w:val="0"/>
        <w:adjustRightInd/>
        <w:snapToGrid w:val="0"/>
        <w:spacing w:before="0" w:after="0" w:line="312" w:lineRule="auto"/>
        <w:ind w:left="0" w:leftChars="0" w:firstLine="0" w:firstLineChars="0"/>
        <w:jc w:val="both"/>
        <w:textAlignment w:val="auto"/>
        <w:rPr>
          <w:rFonts w:hint="eastAsia" w:ascii="宋体" w:hAnsi="宋体" w:eastAsia="宋体" w:cs="Times New Roman"/>
          <w:b/>
          <w:bCs/>
          <w:sz w:val="28"/>
          <w:szCs w:val="28"/>
          <w:highlight w:val="none"/>
          <w:lang w:val="en-US" w:eastAsia="zh-CN" w:bidi="ar-SA"/>
        </w:rPr>
      </w:pPr>
      <w:r>
        <w:rPr>
          <w:rFonts w:hint="eastAsia" w:ascii="宋体" w:hAnsi="宋体" w:eastAsia="宋体" w:cs="Times New Roman"/>
          <w:b/>
          <w:bCs/>
          <w:sz w:val="28"/>
          <w:szCs w:val="28"/>
          <w:highlight w:val="none"/>
          <w:lang w:val="en-US" w:eastAsia="zh-CN" w:bidi="ar-SA"/>
        </w:rPr>
        <w:t xml:space="preserve"> </w:t>
      </w:r>
      <w:bookmarkStart w:id="30" w:name="_Toc5494"/>
      <w:bookmarkStart w:id="31" w:name="_Toc5096"/>
      <w:r>
        <w:rPr>
          <w:rFonts w:hint="eastAsia" w:ascii="宋体" w:hAnsi="宋体" w:eastAsia="宋体" w:cs="Times New Roman"/>
          <w:b/>
          <w:bCs/>
          <w:sz w:val="28"/>
          <w:szCs w:val="28"/>
          <w:highlight w:val="none"/>
          <w:lang w:val="en-US" w:eastAsia="zh-CN" w:bidi="ar-SA"/>
        </w:rPr>
        <w:t>结论</w:t>
      </w:r>
      <w:bookmarkEnd w:id="30"/>
      <w:bookmarkEnd w:id="31"/>
      <w:r>
        <w:rPr>
          <w:rFonts w:hint="eastAsia" w:ascii="宋体" w:hAnsi="宋体" w:cs="Times New Roman"/>
          <w:b/>
          <w:bCs/>
          <w:sz w:val="28"/>
          <w:szCs w:val="28"/>
          <w:highlight w:val="none"/>
          <w:lang w:val="en-US" w:eastAsia="zh-CN" w:bidi="ar-SA"/>
        </w:rPr>
        <w:t>及建议</w:t>
      </w:r>
    </w:p>
    <w:bookmarkEnd w:id="27"/>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420" w:firstLineChars="200"/>
        <w:jc w:val="both"/>
        <w:textAlignment w:val="auto"/>
        <w:rPr>
          <w:rStyle w:val="34"/>
          <w:rFonts w:hint="eastAsia" w:ascii="宋体" w:hAnsi="宋体" w:eastAsia="宋体" w:cs="宋体"/>
          <w:color w:val="auto"/>
          <w:sz w:val="21"/>
          <w:szCs w:val="21"/>
          <w:lang w:val="en-US" w:eastAsia="zh-CN"/>
        </w:rPr>
      </w:pPr>
      <w:r>
        <w:rPr>
          <w:rStyle w:val="34"/>
          <w:rFonts w:hint="eastAsia" w:ascii="宋体" w:hAnsi="宋体" w:eastAsia="宋体" w:cs="宋体"/>
          <w:color w:val="auto"/>
          <w:sz w:val="21"/>
          <w:szCs w:val="21"/>
          <w:lang w:val="en-US" w:eastAsia="zh-CN"/>
        </w:rPr>
        <w:t>指标完成情况及原因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color w:val="auto"/>
          <w:sz w:val="21"/>
          <w:szCs w:val="21"/>
          <w:lang w:val="en-US" w:eastAsia="zh-CN"/>
        </w:rPr>
      </w:pPr>
      <w:r>
        <w:rPr>
          <w:rStyle w:val="34"/>
          <w:rFonts w:hint="eastAsia" w:ascii="宋体" w:hAnsi="宋体" w:eastAsia="宋体" w:cs="宋体"/>
          <w:color w:val="auto"/>
          <w:sz w:val="21"/>
          <w:szCs w:val="21"/>
          <w:lang w:val="en-US" w:eastAsia="zh-CN"/>
        </w:rPr>
        <w:t>2023年二季度城市户均停电时间为0.65小时/户，同比降低0.47小时/户。农村户均停电时间为3.31小时/户，同比降低0.9小时/户。</w:t>
      </w:r>
      <w:r>
        <w:rPr>
          <w:rFonts w:hint="eastAsia" w:ascii="宋体" w:hAnsi="宋体" w:eastAsia="宋体" w:cs="宋体"/>
          <w:color w:val="auto"/>
          <w:sz w:val="21"/>
          <w:szCs w:val="21"/>
          <w:lang w:val="en-US" w:eastAsia="zh-CN"/>
        </w:rPr>
        <w:t>2023年上半年城市户均停电时间为0.84小时/户，同比降低0.41小时/户，系统内排名第2。农村户均停电时间为4.73小时/户，同比升高0.31小时/户，系统内排名第4。户均停电频率：城市0.273次/户，同比降低0.077次/户;农村 0.977次/户，同比升高0.207次/户。农村升高的主要原因，去年疫情部分停电改在今年，由于后山地区网架薄弱，已采用移动配电车、中压发电车、严审方案，停电还是同比增多。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Style w:val="34"/>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w:t>
      </w:r>
      <w:r>
        <w:rPr>
          <w:rStyle w:val="34"/>
          <w:rFonts w:hint="eastAsia" w:ascii="宋体" w:hAnsi="宋体" w:eastAsia="宋体" w:cs="宋体"/>
          <w:color w:val="auto"/>
          <w:sz w:val="21"/>
          <w:szCs w:val="21"/>
          <w:lang w:val="en-US" w:eastAsia="zh-CN"/>
        </w:rPr>
        <w:t>提升指标分析质量。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Style w:val="34"/>
          <w:rFonts w:hint="eastAsia" w:ascii="宋体" w:hAnsi="宋体" w:eastAsia="宋体" w:cs="宋体"/>
          <w:color w:val="auto"/>
          <w:sz w:val="21"/>
          <w:szCs w:val="21"/>
          <w:lang w:val="en-US" w:eastAsia="zh-CN"/>
        </w:rPr>
      </w:pPr>
      <w:r>
        <w:rPr>
          <w:rStyle w:val="34"/>
          <w:rFonts w:hint="eastAsia" w:ascii="宋体" w:hAnsi="宋体" w:eastAsia="宋体" w:cs="宋体"/>
          <w:color w:val="auto"/>
          <w:sz w:val="21"/>
          <w:szCs w:val="21"/>
          <w:lang w:val="en-US" w:eastAsia="zh-CN"/>
        </w:rPr>
        <w:t>利用包头供电局网络硬盘管理系统，编制模板，实现多人同时协同办公，提高每月预测及检修计划、分析报告工作效率，便于分享先进经验，资源共享，有效的提高月度分析报告的质量和深度。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Style w:val="34"/>
          <w:rFonts w:hint="eastAsia" w:ascii="宋体" w:hAnsi="宋体" w:eastAsia="宋体" w:cs="宋体"/>
          <w:color w:val="auto"/>
          <w:sz w:val="21"/>
          <w:szCs w:val="21"/>
          <w:lang w:val="en-US" w:eastAsia="zh-CN"/>
        </w:rPr>
      </w:pPr>
      <w:r>
        <w:rPr>
          <w:rStyle w:val="34"/>
          <w:rFonts w:hint="eastAsia" w:ascii="宋体" w:hAnsi="宋体" w:eastAsia="宋体" w:cs="宋体"/>
          <w:color w:val="auto"/>
          <w:sz w:val="21"/>
          <w:szCs w:val="21"/>
          <w:lang w:val="en-US" w:eastAsia="zh-CN"/>
        </w:rPr>
        <w:t>按月组织召开预安排重复停电、故障停电超时长、预安排停电延迟送电、停电预测偏差专题分析会，有针对性的召开用户故障出门、电缆故障、主网影响配网等专题分析会，还邀请电科院专家参加，制定具体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Style w:val="34"/>
          <w:rFonts w:hint="eastAsia" w:ascii="宋体" w:hAnsi="宋体" w:eastAsia="宋体" w:cs="宋体"/>
          <w:color w:val="auto"/>
          <w:sz w:val="21"/>
          <w:szCs w:val="21"/>
          <w:lang w:val="en-US" w:eastAsia="zh-CN"/>
        </w:rPr>
      </w:pPr>
      <w:r>
        <w:rPr>
          <w:rStyle w:val="34"/>
          <w:rFonts w:hint="eastAsia" w:ascii="宋体" w:hAnsi="宋体" w:eastAsia="宋体" w:cs="宋体"/>
          <w:color w:val="auto"/>
          <w:sz w:val="21"/>
          <w:szCs w:val="21"/>
          <w:lang w:val="en-US" w:eastAsia="zh-CN"/>
        </w:rPr>
        <w:t>三、保证分析措施落地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Style w:val="34"/>
          <w:rFonts w:hint="eastAsia" w:ascii="宋体" w:hAnsi="宋体" w:eastAsia="宋体" w:cs="宋体"/>
          <w:color w:val="auto"/>
          <w:sz w:val="21"/>
          <w:szCs w:val="21"/>
          <w:lang w:val="en-US" w:eastAsia="zh-CN"/>
        </w:rPr>
      </w:pPr>
      <w:r>
        <w:rPr>
          <w:rStyle w:val="34"/>
          <w:rFonts w:hint="eastAsia" w:ascii="宋体" w:hAnsi="宋体" w:eastAsia="宋体" w:cs="宋体"/>
          <w:color w:val="auto"/>
          <w:sz w:val="21"/>
          <w:szCs w:val="21"/>
          <w:lang w:val="en-US" w:eastAsia="zh-CN"/>
        </w:rPr>
        <w:t>通过开展可靠性评估分析，制定有效的整改措施，协调我局计划、基建、配网办、营销处共同持续的进行整改完善，将评估结果用以编制我局十四五主配网规划，通过改善网架结构，跟进检查考核，全面提升包头供电局可靠性精益化管理水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Style w:val="34"/>
          <w:rFonts w:hint="eastAsia" w:ascii="宋体" w:hAnsi="宋体" w:eastAsia="宋体" w:cs="宋体"/>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Style w:val="34"/>
          <w:rFonts w:hint="eastAsia" w:ascii="宋体" w:hAnsi="宋体" w:eastAsia="宋体" w:cs="宋体"/>
          <w:color w:val="auto"/>
          <w:sz w:val="21"/>
          <w:szCs w:val="21"/>
          <w:lang w:val="en-US" w:eastAsia="zh-CN"/>
        </w:rPr>
      </w:pPr>
    </w:p>
    <w:sectPr>
      <w:headerReference r:id="rId5" w:type="default"/>
      <w:footerReference r:id="rId6" w:type="default"/>
      <w:pgSz w:w="11906" w:h="16838"/>
      <w:pgMar w:top="1814" w:right="1417" w:bottom="1559" w:left="1417" w:header="85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rPr>
                              <w:rStyle w:val="32"/>
                            </w:rPr>
                          </w:pPr>
                          <w:r>
                            <w:fldChar w:fldCharType="begin"/>
                          </w:r>
                          <w:r>
                            <w:rPr>
                              <w:rStyle w:val="32"/>
                            </w:rPr>
                            <w:instrText xml:space="preserve">PAGE  </w:instrText>
                          </w:r>
                          <w:r>
                            <w:fldChar w:fldCharType="separate"/>
                          </w:r>
                          <w:r>
                            <w:rPr>
                              <w:rStyle w:val="32"/>
                            </w:rPr>
                            <w:t>22</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oXriYswBAAB6AwAADgAAAAAAAAABACAAAAAiAQAAZHJz&#10;L2Uyb0RvYy54bWxQSwUGAAAAAAYABgBZAQAAYAUAAAAA&#10;">
              <v:fill on="f" focussize="0,0"/>
              <v:stroke on="f" weight="1.25pt"/>
              <v:imagedata o:title=""/>
              <o:lock v:ext="edit" aspectratio="f"/>
              <v:textbox inset="0mm,0mm,0mm,0mm" style="mso-fit-shape-to-text:t;">
                <w:txbxContent>
                  <w:p>
                    <w:pPr>
                      <w:pStyle w:val="23"/>
                      <w:rPr>
                        <w:rStyle w:val="32"/>
                      </w:rPr>
                    </w:pPr>
                    <w:r>
                      <w:fldChar w:fldCharType="begin"/>
                    </w:r>
                    <w:r>
                      <w:rPr>
                        <w:rStyle w:val="32"/>
                      </w:rPr>
                      <w:instrText xml:space="preserve">PAGE  </w:instrText>
                    </w:r>
                    <w:r>
                      <w:fldChar w:fldCharType="separate"/>
                    </w:r>
                    <w:r>
                      <w:rPr>
                        <w:rStyle w:val="32"/>
                      </w:rP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12F56A"/>
    <w:multiLevelType w:val="singleLevel"/>
    <w:tmpl w:val="E712F56A"/>
    <w:lvl w:ilvl="0" w:tentative="0">
      <w:start w:val="1"/>
      <w:numFmt w:val="chineseCounting"/>
      <w:suff w:val="nothing"/>
      <w:lvlText w:val="%1、"/>
      <w:lvlJc w:val="left"/>
      <w:pPr>
        <w:ind w:left="-117"/>
      </w:pPr>
      <w:rPr>
        <w:rFonts w:hint="eastAsia"/>
      </w:r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2">
    <w:nsid w:val="33D44A12"/>
    <w:multiLevelType w:val="multilevel"/>
    <w:tmpl w:val="33D44A12"/>
    <w:lvl w:ilvl="0" w:tentative="0">
      <w:start w:val="1"/>
      <w:numFmt w:val="decimal"/>
      <w:suff w:val="space"/>
      <w:lvlText w:val="%1"/>
      <w:lvlJc w:val="left"/>
      <w:pPr>
        <w:tabs>
          <w:tab w:val="left" w:pos="0"/>
        </w:tabs>
        <w:ind w:left="425" w:hanging="425"/>
      </w:pPr>
      <w:rPr>
        <w:rFonts w:hint="default" w:ascii="宋体" w:hAnsi="宋体" w:eastAsia="宋体" w:cs="宋体"/>
        <w:b/>
        <w:sz w:val="28"/>
      </w:rPr>
    </w:lvl>
    <w:lvl w:ilvl="1" w:tentative="0">
      <w:start w:val="1"/>
      <w:numFmt w:val="decimal"/>
      <w:suff w:val="space"/>
      <w:lvlText w:val="%1.%2"/>
      <w:lvlJc w:val="left"/>
      <w:pPr>
        <w:tabs>
          <w:tab w:val="left" w:pos="0"/>
        </w:tabs>
        <w:ind w:left="567" w:hanging="567"/>
      </w:pPr>
      <w:rPr>
        <w:rFonts w:hint="default" w:ascii="宋体" w:hAnsi="宋体" w:eastAsia="宋体" w:cs="宋体"/>
        <w:b/>
        <w:sz w:val="24"/>
      </w:rPr>
    </w:lvl>
    <w:lvl w:ilvl="2" w:tentative="0">
      <w:start w:val="1"/>
      <w:numFmt w:val="decimal"/>
      <w:suff w:val="space"/>
      <w:lvlText w:val="%1.%2.%3"/>
      <w:lvlJc w:val="left"/>
      <w:pPr>
        <w:ind w:left="709" w:hanging="709"/>
      </w:pPr>
      <w:rPr>
        <w:rFonts w:hint="default" w:ascii="宋体" w:hAnsi="宋体" w:eastAsia="宋体" w:cs="宋体"/>
        <w:sz w:val="24"/>
      </w:rPr>
    </w:lvl>
    <w:lvl w:ilvl="3" w:tentative="0">
      <w:start w:val="1"/>
      <w:numFmt w:val="decimal"/>
      <w:suff w:val="space"/>
      <w:lvlText w:val="%1.%2.%3.%4"/>
      <w:lvlJc w:val="left"/>
      <w:pPr>
        <w:ind w:left="850" w:hanging="850"/>
      </w:pPr>
      <w:rPr>
        <w:rFonts w:hint="default" w:ascii="宋体" w:hAnsi="宋体" w:eastAsia="宋体" w:cs="宋体"/>
        <w:sz w:val="24"/>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34EE4996"/>
    <w:multiLevelType w:val="multilevel"/>
    <w:tmpl w:val="34EE4996"/>
    <w:lvl w:ilvl="0" w:tentative="0">
      <w:start w:val="1"/>
      <w:numFmt w:val="japaneseCounting"/>
      <w:pStyle w:val="37"/>
      <w:lvlText w:val="%1、"/>
      <w:lvlJc w:val="left"/>
      <w:pPr>
        <w:ind w:left="0" w:firstLine="0"/>
      </w:pPr>
      <w:rPr>
        <w:rFonts w:hint="eastAsia"/>
        <w:b/>
      </w:rPr>
    </w:lvl>
    <w:lvl w:ilvl="1" w:tentative="0">
      <w:start w:val="1"/>
      <w:numFmt w:val="decimal"/>
      <w:pStyle w:val="36"/>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4">
    <w:nsid w:val="397C1097"/>
    <w:multiLevelType w:val="multilevel"/>
    <w:tmpl w:val="397C1097"/>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555"/>
    <w:rsid w:val="00002F76"/>
    <w:rsid w:val="00004E2E"/>
    <w:rsid w:val="00006744"/>
    <w:rsid w:val="00010F29"/>
    <w:rsid w:val="000200CD"/>
    <w:rsid w:val="00020AC1"/>
    <w:rsid w:val="00025C8F"/>
    <w:rsid w:val="00027DC4"/>
    <w:rsid w:val="00034331"/>
    <w:rsid w:val="00036993"/>
    <w:rsid w:val="00042B8E"/>
    <w:rsid w:val="00044EEB"/>
    <w:rsid w:val="000469FB"/>
    <w:rsid w:val="00052DFF"/>
    <w:rsid w:val="00056530"/>
    <w:rsid w:val="00056874"/>
    <w:rsid w:val="00060564"/>
    <w:rsid w:val="000663C5"/>
    <w:rsid w:val="00066A71"/>
    <w:rsid w:val="00066CE2"/>
    <w:rsid w:val="00067CEF"/>
    <w:rsid w:val="0007347B"/>
    <w:rsid w:val="00077E5E"/>
    <w:rsid w:val="000844F7"/>
    <w:rsid w:val="0008639A"/>
    <w:rsid w:val="000868BA"/>
    <w:rsid w:val="000871A9"/>
    <w:rsid w:val="000945C0"/>
    <w:rsid w:val="00094D01"/>
    <w:rsid w:val="00094D90"/>
    <w:rsid w:val="00097554"/>
    <w:rsid w:val="000A3441"/>
    <w:rsid w:val="000C577E"/>
    <w:rsid w:val="000C5954"/>
    <w:rsid w:val="000D0E2C"/>
    <w:rsid w:val="000D617E"/>
    <w:rsid w:val="000D6B11"/>
    <w:rsid w:val="000D788D"/>
    <w:rsid w:val="000E2804"/>
    <w:rsid w:val="000E5AFD"/>
    <w:rsid w:val="000E7FEA"/>
    <w:rsid w:val="000F03F7"/>
    <w:rsid w:val="000F0C6F"/>
    <w:rsid w:val="00101AD7"/>
    <w:rsid w:val="00104F6A"/>
    <w:rsid w:val="00110547"/>
    <w:rsid w:val="00112D65"/>
    <w:rsid w:val="00113A3E"/>
    <w:rsid w:val="001170BC"/>
    <w:rsid w:val="00120CD9"/>
    <w:rsid w:val="00120DBC"/>
    <w:rsid w:val="001218EF"/>
    <w:rsid w:val="0012530A"/>
    <w:rsid w:val="00131304"/>
    <w:rsid w:val="00131369"/>
    <w:rsid w:val="0013272F"/>
    <w:rsid w:val="00133233"/>
    <w:rsid w:val="0013329E"/>
    <w:rsid w:val="00137322"/>
    <w:rsid w:val="00140328"/>
    <w:rsid w:val="00140C77"/>
    <w:rsid w:val="0014142B"/>
    <w:rsid w:val="0014164D"/>
    <w:rsid w:val="00141D8B"/>
    <w:rsid w:val="001456F6"/>
    <w:rsid w:val="00150280"/>
    <w:rsid w:val="00152CAE"/>
    <w:rsid w:val="001535FC"/>
    <w:rsid w:val="00155507"/>
    <w:rsid w:val="00155893"/>
    <w:rsid w:val="0015682F"/>
    <w:rsid w:val="0016468A"/>
    <w:rsid w:val="001655C0"/>
    <w:rsid w:val="00167331"/>
    <w:rsid w:val="001716C7"/>
    <w:rsid w:val="00173EF0"/>
    <w:rsid w:val="001835CB"/>
    <w:rsid w:val="00184E2B"/>
    <w:rsid w:val="00192970"/>
    <w:rsid w:val="00194CC9"/>
    <w:rsid w:val="001966BC"/>
    <w:rsid w:val="00197D70"/>
    <w:rsid w:val="001A02A5"/>
    <w:rsid w:val="001A4278"/>
    <w:rsid w:val="001A50D2"/>
    <w:rsid w:val="001A7517"/>
    <w:rsid w:val="001B1F13"/>
    <w:rsid w:val="001C2E70"/>
    <w:rsid w:val="001C5F1C"/>
    <w:rsid w:val="001C7690"/>
    <w:rsid w:val="001D2C16"/>
    <w:rsid w:val="001D7093"/>
    <w:rsid w:val="001E3AD1"/>
    <w:rsid w:val="001E6530"/>
    <w:rsid w:val="001E7E94"/>
    <w:rsid w:val="001F4067"/>
    <w:rsid w:val="001F44F9"/>
    <w:rsid w:val="001F6C8B"/>
    <w:rsid w:val="001F71A5"/>
    <w:rsid w:val="0020253F"/>
    <w:rsid w:val="00214E5F"/>
    <w:rsid w:val="00217C63"/>
    <w:rsid w:val="00217D2F"/>
    <w:rsid w:val="002212A0"/>
    <w:rsid w:val="002214C5"/>
    <w:rsid w:val="00221DC5"/>
    <w:rsid w:val="00221EC6"/>
    <w:rsid w:val="00224958"/>
    <w:rsid w:val="00225362"/>
    <w:rsid w:val="002262F3"/>
    <w:rsid w:val="002304B4"/>
    <w:rsid w:val="00233D49"/>
    <w:rsid w:val="00237A4A"/>
    <w:rsid w:val="00241CF2"/>
    <w:rsid w:val="00243256"/>
    <w:rsid w:val="002645D6"/>
    <w:rsid w:val="00272E96"/>
    <w:rsid w:val="00273EFC"/>
    <w:rsid w:val="002750A0"/>
    <w:rsid w:val="00277B4A"/>
    <w:rsid w:val="00280BD4"/>
    <w:rsid w:val="00281259"/>
    <w:rsid w:val="00283D3A"/>
    <w:rsid w:val="00285D78"/>
    <w:rsid w:val="00286941"/>
    <w:rsid w:val="00287A93"/>
    <w:rsid w:val="00291D22"/>
    <w:rsid w:val="002922E4"/>
    <w:rsid w:val="0029350A"/>
    <w:rsid w:val="002A26D0"/>
    <w:rsid w:val="002A3A65"/>
    <w:rsid w:val="002A6575"/>
    <w:rsid w:val="002A6DEF"/>
    <w:rsid w:val="002B32CB"/>
    <w:rsid w:val="002B4A3F"/>
    <w:rsid w:val="002B7C16"/>
    <w:rsid w:val="002C17AB"/>
    <w:rsid w:val="002C6323"/>
    <w:rsid w:val="002D4171"/>
    <w:rsid w:val="002D633D"/>
    <w:rsid w:val="002D69FC"/>
    <w:rsid w:val="002D6B7C"/>
    <w:rsid w:val="002E0C81"/>
    <w:rsid w:val="002E751A"/>
    <w:rsid w:val="002F32BC"/>
    <w:rsid w:val="00302467"/>
    <w:rsid w:val="003035AC"/>
    <w:rsid w:val="00303DBD"/>
    <w:rsid w:val="0031540F"/>
    <w:rsid w:val="0031548B"/>
    <w:rsid w:val="0032155C"/>
    <w:rsid w:val="00322609"/>
    <w:rsid w:val="003240C9"/>
    <w:rsid w:val="00331C8B"/>
    <w:rsid w:val="0034020D"/>
    <w:rsid w:val="003462BC"/>
    <w:rsid w:val="003468BE"/>
    <w:rsid w:val="003506C7"/>
    <w:rsid w:val="00350749"/>
    <w:rsid w:val="0035483F"/>
    <w:rsid w:val="00354E83"/>
    <w:rsid w:val="00355177"/>
    <w:rsid w:val="00362A64"/>
    <w:rsid w:val="00364FE5"/>
    <w:rsid w:val="00384776"/>
    <w:rsid w:val="0039053A"/>
    <w:rsid w:val="003A6E9B"/>
    <w:rsid w:val="003B12F1"/>
    <w:rsid w:val="003B22BD"/>
    <w:rsid w:val="003C0368"/>
    <w:rsid w:val="003C05D3"/>
    <w:rsid w:val="003C1724"/>
    <w:rsid w:val="003C27F5"/>
    <w:rsid w:val="003D3AE4"/>
    <w:rsid w:val="003D48A4"/>
    <w:rsid w:val="003D76F0"/>
    <w:rsid w:val="003E6CEE"/>
    <w:rsid w:val="003F0B10"/>
    <w:rsid w:val="003F0CA6"/>
    <w:rsid w:val="003F5959"/>
    <w:rsid w:val="003F6E60"/>
    <w:rsid w:val="00402BF7"/>
    <w:rsid w:val="00404A53"/>
    <w:rsid w:val="00405D8C"/>
    <w:rsid w:val="0040655B"/>
    <w:rsid w:val="004249AC"/>
    <w:rsid w:val="00425243"/>
    <w:rsid w:val="00425799"/>
    <w:rsid w:val="00425BD2"/>
    <w:rsid w:val="004268A7"/>
    <w:rsid w:val="0042793C"/>
    <w:rsid w:val="004340C3"/>
    <w:rsid w:val="00436117"/>
    <w:rsid w:val="00437FEC"/>
    <w:rsid w:val="00440154"/>
    <w:rsid w:val="00441FE5"/>
    <w:rsid w:val="0044772C"/>
    <w:rsid w:val="004500D3"/>
    <w:rsid w:val="00455546"/>
    <w:rsid w:val="0046069F"/>
    <w:rsid w:val="00462B56"/>
    <w:rsid w:val="00463FB3"/>
    <w:rsid w:val="0046732E"/>
    <w:rsid w:val="004768CB"/>
    <w:rsid w:val="00480CD9"/>
    <w:rsid w:val="00481149"/>
    <w:rsid w:val="004831B3"/>
    <w:rsid w:val="00483E1E"/>
    <w:rsid w:val="00485B51"/>
    <w:rsid w:val="00486A2A"/>
    <w:rsid w:val="00491A45"/>
    <w:rsid w:val="00494784"/>
    <w:rsid w:val="004B2BBC"/>
    <w:rsid w:val="004B3B82"/>
    <w:rsid w:val="004B3EA8"/>
    <w:rsid w:val="004B44E5"/>
    <w:rsid w:val="004B45FE"/>
    <w:rsid w:val="004B4ED5"/>
    <w:rsid w:val="004B5E48"/>
    <w:rsid w:val="004C471C"/>
    <w:rsid w:val="004D20FE"/>
    <w:rsid w:val="004E057E"/>
    <w:rsid w:val="004E1D59"/>
    <w:rsid w:val="004E1E6F"/>
    <w:rsid w:val="004E51B3"/>
    <w:rsid w:val="004E51EF"/>
    <w:rsid w:val="004E5700"/>
    <w:rsid w:val="004F3092"/>
    <w:rsid w:val="004F491D"/>
    <w:rsid w:val="004F5944"/>
    <w:rsid w:val="004F72FD"/>
    <w:rsid w:val="004F7EB7"/>
    <w:rsid w:val="005069EC"/>
    <w:rsid w:val="00510530"/>
    <w:rsid w:val="00511162"/>
    <w:rsid w:val="00511BEE"/>
    <w:rsid w:val="005125AC"/>
    <w:rsid w:val="00512E5B"/>
    <w:rsid w:val="00514BB7"/>
    <w:rsid w:val="005153D5"/>
    <w:rsid w:val="00516163"/>
    <w:rsid w:val="0052128F"/>
    <w:rsid w:val="00521FF5"/>
    <w:rsid w:val="0052329F"/>
    <w:rsid w:val="00537394"/>
    <w:rsid w:val="0054155A"/>
    <w:rsid w:val="005426F3"/>
    <w:rsid w:val="0054480E"/>
    <w:rsid w:val="00544F3D"/>
    <w:rsid w:val="00547674"/>
    <w:rsid w:val="00551AD0"/>
    <w:rsid w:val="00553395"/>
    <w:rsid w:val="0055705E"/>
    <w:rsid w:val="005577F7"/>
    <w:rsid w:val="00560778"/>
    <w:rsid w:val="005624CB"/>
    <w:rsid w:val="0056673D"/>
    <w:rsid w:val="00572C29"/>
    <w:rsid w:val="00574345"/>
    <w:rsid w:val="0057606B"/>
    <w:rsid w:val="005779C0"/>
    <w:rsid w:val="00577C03"/>
    <w:rsid w:val="00577F80"/>
    <w:rsid w:val="00580F49"/>
    <w:rsid w:val="00584CBC"/>
    <w:rsid w:val="00585253"/>
    <w:rsid w:val="005854A8"/>
    <w:rsid w:val="0058729C"/>
    <w:rsid w:val="005926EF"/>
    <w:rsid w:val="00593601"/>
    <w:rsid w:val="0059586E"/>
    <w:rsid w:val="005A0AEA"/>
    <w:rsid w:val="005A7E32"/>
    <w:rsid w:val="005B41F1"/>
    <w:rsid w:val="005B68BE"/>
    <w:rsid w:val="005C079D"/>
    <w:rsid w:val="005C421F"/>
    <w:rsid w:val="005C7BE0"/>
    <w:rsid w:val="005D2644"/>
    <w:rsid w:val="005D3196"/>
    <w:rsid w:val="005D5CC7"/>
    <w:rsid w:val="005D6CEB"/>
    <w:rsid w:val="005E60CF"/>
    <w:rsid w:val="005F310F"/>
    <w:rsid w:val="005F5BEC"/>
    <w:rsid w:val="005F684C"/>
    <w:rsid w:val="005F6F59"/>
    <w:rsid w:val="00611956"/>
    <w:rsid w:val="0061787D"/>
    <w:rsid w:val="0062322E"/>
    <w:rsid w:val="0062713C"/>
    <w:rsid w:val="00630725"/>
    <w:rsid w:val="00635373"/>
    <w:rsid w:val="00635DEC"/>
    <w:rsid w:val="00637283"/>
    <w:rsid w:val="00644E52"/>
    <w:rsid w:val="00645E4C"/>
    <w:rsid w:val="00652827"/>
    <w:rsid w:val="00653AAD"/>
    <w:rsid w:val="006544FF"/>
    <w:rsid w:val="006569CF"/>
    <w:rsid w:val="00661C51"/>
    <w:rsid w:val="00663F30"/>
    <w:rsid w:val="00665F66"/>
    <w:rsid w:val="00667D85"/>
    <w:rsid w:val="00670B61"/>
    <w:rsid w:val="00670F38"/>
    <w:rsid w:val="00674FA1"/>
    <w:rsid w:val="006817F1"/>
    <w:rsid w:val="00682D8B"/>
    <w:rsid w:val="0068335E"/>
    <w:rsid w:val="00685481"/>
    <w:rsid w:val="006863E1"/>
    <w:rsid w:val="00687899"/>
    <w:rsid w:val="00687CC3"/>
    <w:rsid w:val="006923E2"/>
    <w:rsid w:val="00697587"/>
    <w:rsid w:val="006A0258"/>
    <w:rsid w:val="006A1285"/>
    <w:rsid w:val="006A32A1"/>
    <w:rsid w:val="006A3C27"/>
    <w:rsid w:val="006A4691"/>
    <w:rsid w:val="006A71A9"/>
    <w:rsid w:val="006B17EA"/>
    <w:rsid w:val="006B30B5"/>
    <w:rsid w:val="006B7315"/>
    <w:rsid w:val="006C35DC"/>
    <w:rsid w:val="006C57CD"/>
    <w:rsid w:val="006C75B2"/>
    <w:rsid w:val="006D01B0"/>
    <w:rsid w:val="006D1FF2"/>
    <w:rsid w:val="006E0EA3"/>
    <w:rsid w:val="006E25CA"/>
    <w:rsid w:val="006E78E4"/>
    <w:rsid w:val="006F4A8D"/>
    <w:rsid w:val="00700264"/>
    <w:rsid w:val="00703C73"/>
    <w:rsid w:val="00704C19"/>
    <w:rsid w:val="00711D53"/>
    <w:rsid w:val="00711F4F"/>
    <w:rsid w:val="00714429"/>
    <w:rsid w:val="007153DC"/>
    <w:rsid w:val="0071577C"/>
    <w:rsid w:val="00715E73"/>
    <w:rsid w:val="00716FF0"/>
    <w:rsid w:val="0072315E"/>
    <w:rsid w:val="00726E88"/>
    <w:rsid w:val="007404B9"/>
    <w:rsid w:val="007434DC"/>
    <w:rsid w:val="0074653F"/>
    <w:rsid w:val="00753372"/>
    <w:rsid w:val="00755917"/>
    <w:rsid w:val="007573A5"/>
    <w:rsid w:val="00760FD0"/>
    <w:rsid w:val="00767A3A"/>
    <w:rsid w:val="00772BD4"/>
    <w:rsid w:val="007774E1"/>
    <w:rsid w:val="00777FE4"/>
    <w:rsid w:val="00781E1F"/>
    <w:rsid w:val="00782A78"/>
    <w:rsid w:val="00792629"/>
    <w:rsid w:val="007971D5"/>
    <w:rsid w:val="007A2843"/>
    <w:rsid w:val="007A513F"/>
    <w:rsid w:val="007A6C4A"/>
    <w:rsid w:val="007A6E7C"/>
    <w:rsid w:val="007A7AC8"/>
    <w:rsid w:val="007B1C92"/>
    <w:rsid w:val="007B1D7B"/>
    <w:rsid w:val="007B68A3"/>
    <w:rsid w:val="007B6BAB"/>
    <w:rsid w:val="007B7188"/>
    <w:rsid w:val="007B7C07"/>
    <w:rsid w:val="007C2A2C"/>
    <w:rsid w:val="007C2DDB"/>
    <w:rsid w:val="007C340E"/>
    <w:rsid w:val="007C3D3D"/>
    <w:rsid w:val="007C6BF9"/>
    <w:rsid w:val="007C78C3"/>
    <w:rsid w:val="007D5721"/>
    <w:rsid w:val="007D5BB9"/>
    <w:rsid w:val="007E11CA"/>
    <w:rsid w:val="007E5078"/>
    <w:rsid w:val="007E7044"/>
    <w:rsid w:val="007F0472"/>
    <w:rsid w:val="007F154A"/>
    <w:rsid w:val="007F2B44"/>
    <w:rsid w:val="007F2D5B"/>
    <w:rsid w:val="00802B43"/>
    <w:rsid w:val="00811782"/>
    <w:rsid w:val="008130AD"/>
    <w:rsid w:val="00816CCC"/>
    <w:rsid w:val="00820100"/>
    <w:rsid w:val="00820E53"/>
    <w:rsid w:val="00825EAC"/>
    <w:rsid w:val="00830CA8"/>
    <w:rsid w:val="00833EDC"/>
    <w:rsid w:val="00841F52"/>
    <w:rsid w:val="008427B0"/>
    <w:rsid w:val="00844CB5"/>
    <w:rsid w:val="00850713"/>
    <w:rsid w:val="00850ADA"/>
    <w:rsid w:val="008535CB"/>
    <w:rsid w:val="008549E1"/>
    <w:rsid w:val="0086521D"/>
    <w:rsid w:val="00866F69"/>
    <w:rsid w:val="00867973"/>
    <w:rsid w:val="00873679"/>
    <w:rsid w:val="00874FB3"/>
    <w:rsid w:val="00880C4D"/>
    <w:rsid w:val="00882630"/>
    <w:rsid w:val="008827F7"/>
    <w:rsid w:val="00886FE6"/>
    <w:rsid w:val="00887C0C"/>
    <w:rsid w:val="00890855"/>
    <w:rsid w:val="008944B9"/>
    <w:rsid w:val="00896931"/>
    <w:rsid w:val="00896D99"/>
    <w:rsid w:val="008A04D9"/>
    <w:rsid w:val="008A1A2D"/>
    <w:rsid w:val="008B387B"/>
    <w:rsid w:val="008B7A80"/>
    <w:rsid w:val="008C0747"/>
    <w:rsid w:val="008C1D3C"/>
    <w:rsid w:val="008C7EB0"/>
    <w:rsid w:val="008D11C5"/>
    <w:rsid w:val="008E46A1"/>
    <w:rsid w:val="008E626B"/>
    <w:rsid w:val="008F0A71"/>
    <w:rsid w:val="008F4079"/>
    <w:rsid w:val="008F6476"/>
    <w:rsid w:val="008F6852"/>
    <w:rsid w:val="00902C7E"/>
    <w:rsid w:val="00902EBB"/>
    <w:rsid w:val="00906EF8"/>
    <w:rsid w:val="009076D9"/>
    <w:rsid w:val="00911493"/>
    <w:rsid w:val="009132D2"/>
    <w:rsid w:val="00913C57"/>
    <w:rsid w:val="00915288"/>
    <w:rsid w:val="00915E82"/>
    <w:rsid w:val="00915EAD"/>
    <w:rsid w:val="009220FA"/>
    <w:rsid w:val="009246B3"/>
    <w:rsid w:val="00927142"/>
    <w:rsid w:val="009277BB"/>
    <w:rsid w:val="00927AE6"/>
    <w:rsid w:val="009301B0"/>
    <w:rsid w:val="00931351"/>
    <w:rsid w:val="0093152C"/>
    <w:rsid w:val="0093192C"/>
    <w:rsid w:val="0093263F"/>
    <w:rsid w:val="009357A1"/>
    <w:rsid w:val="00940CD5"/>
    <w:rsid w:val="009430CD"/>
    <w:rsid w:val="009466BA"/>
    <w:rsid w:val="00954C7E"/>
    <w:rsid w:val="00957598"/>
    <w:rsid w:val="00957E51"/>
    <w:rsid w:val="009600F5"/>
    <w:rsid w:val="009604E2"/>
    <w:rsid w:val="00961814"/>
    <w:rsid w:val="00967485"/>
    <w:rsid w:val="00972568"/>
    <w:rsid w:val="00973004"/>
    <w:rsid w:val="00973378"/>
    <w:rsid w:val="00974D82"/>
    <w:rsid w:val="00977ACE"/>
    <w:rsid w:val="00987DDB"/>
    <w:rsid w:val="00995668"/>
    <w:rsid w:val="009973D5"/>
    <w:rsid w:val="00997A36"/>
    <w:rsid w:val="009A0F67"/>
    <w:rsid w:val="009A33EA"/>
    <w:rsid w:val="009A67B0"/>
    <w:rsid w:val="009B5F34"/>
    <w:rsid w:val="009B618A"/>
    <w:rsid w:val="009C3585"/>
    <w:rsid w:val="009C6F39"/>
    <w:rsid w:val="009E4861"/>
    <w:rsid w:val="009E620D"/>
    <w:rsid w:val="009F4F1A"/>
    <w:rsid w:val="00A01408"/>
    <w:rsid w:val="00A02DE3"/>
    <w:rsid w:val="00A150A1"/>
    <w:rsid w:val="00A1567F"/>
    <w:rsid w:val="00A17916"/>
    <w:rsid w:val="00A20142"/>
    <w:rsid w:val="00A234D1"/>
    <w:rsid w:val="00A26C71"/>
    <w:rsid w:val="00A32B73"/>
    <w:rsid w:val="00A35DB5"/>
    <w:rsid w:val="00A41B2B"/>
    <w:rsid w:val="00A47FBF"/>
    <w:rsid w:val="00A50A80"/>
    <w:rsid w:val="00A50EAA"/>
    <w:rsid w:val="00A55F5B"/>
    <w:rsid w:val="00A56B1C"/>
    <w:rsid w:val="00A60617"/>
    <w:rsid w:val="00A61F4A"/>
    <w:rsid w:val="00A774B6"/>
    <w:rsid w:val="00A81864"/>
    <w:rsid w:val="00A828D4"/>
    <w:rsid w:val="00A82D8C"/>
    <w:rsid w:val="00A83EFA"/>
    <w:rsid w:val="00A85B82"/>
    <w:rsid w:val="00A930C4"/>
    <w:rsid w:val="00A97A72"/>
    <w:rsid w:val="00AA1419"/>
    <w:rsid w:val="00AA4ECB"/>
    <w:rsid w:val="00AB341E"/>
    <w:rsid w:val="00AB44FC"/>
    <w:rsid w:val="00AB5A37"/>
    <w:rsid w:val="00AC188B"/>
    <w:rsid w:val="00AD12D4"/>
    <w:rsid w:val="00AD28DC"/>
    <w:rsid w:val="00AD342D"/>
    <w:rsid w:val="00AD376B"/>
    <w:rsid w:val="00AE0799"/>
    <w:rsid w:val="00AE2ACA"/>
    <w:rsid w:val="00AE2E77"/>
    <w:rsid w:val="00AF2343"/>
    <w:rsid w:val="00AF49A6"/>
    <w:rsid w:val="00B0215C"/>
    <w:rsid w:val="00B0477A"/>
    <w:rsid w:val="00B10492"/>
    <w:rsid w:val="00B10BBB"/>
    <w:rsid w:val="00B12532"/>
    <w:rsid w:val="00B12A7B"/>
    <w:rsid w:val="00B20D19"/>
    <w:rsid w:val="00B20FDD"/>
    <w:rsid w:val="00B26622"/>
    <w:rsid w:val="00B31627"/>
    <w:rsid w:val="00B35641"/>
    <w:rsid w:val="00B41286"/>
    <w:rsid w:val="00B41462"/>
    <w:rsid w:val="00B454A1"/>
    <w:rsid w:val="00B465B2"/>
    <w:rsid w:val="00B5308B"/>
    <w:rsid w:val="00B646E4"/>
    <w:rsid w:val="00B6665C"/>
    <w:rsid w:val="00B73021"/>
    <w:rsid w:val="00B737B1"/>
    <w:rsid w:val="00B77FC2"/>
    <w:rsid w:val="00B85B8A"/>
    <w:rsid w:val="00B86164"/>
    <w:rsid w:val="00B90000"/>
    <w:rsid w:val="00B903FA"/>
    <w:rsid w:val="00B920FF"/>
    <w:rsid w:val="00BA160F"/>
    <w:rsid w:val="00BA38FE"/>
    <w:rsid w:val="00BA41E9"/>
    <w:rsid w:val="00BA4DD1"/>
    <w:rsid w:val="00BB1E41"/>
    <w:rsid w:val="00BB2400"/>
    <w:rsid w:val="00BC4156"/>
    <w:rsid w:val="00BC78F7"/>
    <w:rsid w:val="00BD065A"/>
    <w:rsid w:val="00BD3ACB"/>
    <w:rsid w:val="00BD6E8B"/>
    <w:rsid w:val="00BD7201"/>
    <w:rsid w:val="00BE75C8"/>
    <w:rsid w:val="00BF0919"/>
    <w:rsid w:val="00C04EAA"/>
    <w:rsid w:val="00C0623B"/>
    <w:rsid w:val="00C06E50"/>
    <w:rsid w:val="00C148C9"/>
    <w:rsid w:val="00C23C12"/>
    <w:rsid w:val="00C24A1D"/>
    <w:rsid w:val="00C25057"/>
    <w:rsid w:val="00C27F00"/>
    <w:rsid w:val="00C300CF"/>
    <w:rsid w:val="00C34590"/>
    <w:rsid w:val="00C34FD8"/>
    <w:rsid w:val="00C35FD3"/>
    <w:rsid w:val="00C417EC"/>
    <w:rsid w:val="00C441D6"/>
    <w:rsid w:val="00C4449E"/>
    <w:rsid w:val="00C557E8"/>
    <w:rsid w:val="00C578E9"/>
    <w:rsid w:val="00C57D4E"/>
    <w:rsid w:val="00C623AF"/>
    <w:rsid w:val="00C65ADB"/>
    <w:rsid w:val="00C667DF"/>
    <w:rsid w:val="00C72EC9"/>
    <w:rsid w:val="00C74F8D"/>
    <w:rsid w:val="00C87629"/>
    <w:rsid w:val="00C916CB"/>
    <w:rsid w:val="00C92CD7"/>
    <w:rsid w:val="00C94764"/>
    <w:rsid w:val="00C94DBB"/>
    <w:rsid w:val="00C95D7A"/>
    <w:rsid w:val="00C97D83"/>
    <w:rsid w:val="00CA2C00"/>
    <w:rsid w:val="00CB19E8"/>
    <w:rsid w:val="00CB2F90"/>
    <w:rsid w:val="00CB32CE"/>
    <w:rsid w:val="00CB5680"/>
    <w:rsid w:val="00CC5487"/>
    <w:rsid w:val="00CD380D"/>
    <w:rsid w:val="00CF03B2"/>
    <w:rsid w:val="00CF1A92"/>
    <w:rsid w:val="00CF45ED"/>
    <w:rsid w:val="00CF6896"/>
    <w:rsid w:val="00D0367F"/>
    <w:rsid w:val="00D107F4"/>
    <w:rsid w:val="00D15878"/>
    <w:rsid w:val="00D16BE1"/>
    <w:rsid w:val="00D175BC"/>
    <w:rsid w:val="00D212DD"/>
    <w:rsid w:val="00D2294A"/>
    <w:rsid w:val="00D26052"/>
    <w:rsid w:val="00D31E30"/>
    <w:rsid w:val="00D33A5E"/>
    <w:rsid w:val="00D34459"/>
    <w:rsid w:val="00D4038D"/>
    <w:rsid w:val="00D43579"/>
    <w:rsid w:val="00D520D4"/>
    <w:rsid w:val="00D55452"/>
    <w:rsid w:val="00D61CBF"/>
    <w:rsid w:val="00D6453D"/>
    <w:rsid w:val="00D67D89"/>
    <w:rsid w:val="00D71F4E"/>
    <w:rsid w:val="00D72466"/>
    <w:rsid w:val="00D73EBC"/>
    <w:rsid w:val="00D93FBF"/>
    <w:rsid w:val="00D94555"/>
    <w:rsid w:val="00DA5F82"/>
    <w:rsid w:val="00DA72A2"/>
    <w:rsid w:val="00DB2978"/>
    <w:rsid w:val="00DB45AF"/>
    <w:rsid w:val="00DC30C6"/>
    <w:rsid w:val="00DC449F"/>
    <w:rsid w:val="00DC6982"/>
    <w:rsid w:val="00DC7D24"/>
    <w:rsid w:val="00DD026A"/>
    <w:rsid w:val="00DD157F"/>
    <w:rsid w:val="00DD4851"/>
    <w:rsid w:val="00DE16C7"/>
    <w:rsid w:val="00DE1E74"/>
    <w:rsid w:val="00DE59A4"/>
    <w:rsid w:val="00DE66BC"/>
    <w:rsid w:val="00DF1D9C"/>
    <w:rsid w:val="00DF4759"/>
    <w:rsid w:val="00E12D5A"/>
    <w:rsid w:val="00E13B3A"/>
    <w:rsid w:val="00E14A2C"/>
    <w:rsid w:val="00E15594"/>
    <w:rsid w:val="00E207D6"/>
    <w:rsid w:val="00E330A5"/>
    <w:rsid w:val="00E36DED"/>
    <w:rsid w:val="00E406CA"/>
    <w:rsid w:val="00E40AE3"/>
    <w:rsid w:val="00E459E6"/>
    <w:rsid w:val="00E501E6"/>
    <w:rsid w:val="00E53F98"/>
    <w:rsid w:val="00E55B7F"/>
    <w:rsid w:val="00E67D24"/>
    <w:rsid w:val="00E7016F"/>
    <w:rsid w:val="00E712F8"/>
    <w:rsid w:val="00E74D03"/>
    <w:rsid w:val="00E7623E"/>
    <w:rsid w:val="00E8194A"/>
    <w:rsid w:val="00E825EF"/>
    <w:rsid w:val="00E840D1"/>
    <w:rsid w:val="00E8459F"/>
    <w:rsid w:val="00E85DB5"/>
    <w:rsid w:val="00E906E5"/>
    <w:rsid w:val="00E94658"/>
    <w:rsid w:val="00E95AAC"/>
    <w:rsid w:val="00E9630B"/>
    <w:rsid w:val="00E97A74"/>
    <w:rsid w:val="00EA1E77"/>
    <w:rsid w:val="00EA219E"/>
    <w:rsid w:val="00EB11F5"/>
    <w:rsid w:val="00EB2099"/>
    <w:rsid w:val="00EB327E"/>
    <w:rsid w:val="00EB3400"/>
    <w:rsid w:val="00EB69E9"/>
    <w:rsid w:val="00EC193B"/>
    <w:rsid w:val="00EC4122"/>
    <w:rsid w:val="00EC4585"/>
    <w:rsid w:val="00EE0042"/>
    <w:rsid w:val="00EE12BF"/>
    <w:rsid w:val="00EE536F"/>
    <w:rsid w:val="00EE5787"/>
    <w:rsid w:val="00EE634A"/>
    <w:rsid w:val="00EF07AE"/>
    <w:rsid w:val="00EF48EA"/>
    <w:rsid w:val="00EF78F1"/>
    <w:rsid w:val="00F04B7D"/>
    <w:rsid w:val="00F102D7"/>
    <w:rsid w:val="00F13059"/>
    <w:rsid w:val="00F209DB"/>
    <w:rsid w:val="00F231DD"/>
    <w:rsid w:val="00F27878"/>
    <w:rsid w:val="00F33ECA"/>
    <w:rsid w:val="00F3525A"/>
    <w:rsid w:val="00F37815"/>
    <w:rsid w:val="00F57298"/>
    <w:rsid w:val="00F6581E"/>
    <w:rsid w:val="00F701AA"/>
    <w:rsid w:val="00F712A8"/>
    <w:rsid w:val="00F71359"/>
    <w:rsid w:val="00F72748"/>
    <w:rsid w:val="00F778D5"/>
    <w:rsid w:val="00F847C2"/>
    <w:rsid w:val="00F85FFA"/>
    <w:rsid w:val="00F86501"/>
    <w:rsid w:val="00F92391"/>
    <w:rsid w:val="00F92DD6"/>
    <w:rsid w:val="00FA1005"/>
    <w:rsid w:val="00FA1873"/>
    <w:rsid w:val="00FC07A1"/>
    <w:rsid w:val="00FC103F"/>
    <w:rsid w:val="00FC239D"/>
    <w:rsid w:val="00FC4BC9"/>
    <w:rsid w:val="00FD1B0A"/>
    <w:rsid w:val="00FE2472"/>
    <w:rsid w:val="00FE7836"/>
    <w:rsid w:val="00FF0403"/>
    <w:rsid w:val="00FF2059"/>
    <w:rsid w:val="016C1DE6"/>
    <w:rsid w:val="04694A46"/>
    <w:rsid w:val="068316CE"/>
    <w:rsid w:val="0698107A"/>
    <w:rsid w:val="06CF59C0"/>
    <w:rsid w:val="07C65424"/>
    <w:rsid w:val="07CE3227"/>
    <w:rsid w:val="08976C75"/>
    <w:rsid w:val="098E6105"/>
    <w:rsid w:val="0A82058D"/>
    <w:rsid w:val="0B355606"/>
    <w:rsid w:val="0B954BE4"/>
    <w:rsid w:val="0C8459C2"/>
    <w:rsid w:val="0D3752DF"/>
    <w:rsid w:val="0DE635F1"/>
    <w:rsid w:val="0E4D32D9"/>
    <w:rsid w:val="0F0444AD"/>
    <w:rsid w:val="0F154B06"/>
    <w:rsid w:val="10743B2B"/>
    <w:rsid w:val="13B418E0"/>
    <w:rsid w:val="15EA6A72"/>
    <w:rsid w:val="162C2FE9"/>
    <w:rsid w:val="182A4A79"/>
    <w:rsid w:val="1A04264E"/>
    <w:rsid w:val="1BC211C3"/>
    <w:rsid w:val="1CCE231B"/>
    <w:rsid w:val="1EC22FEB"/>
    <w:rsid w:val="20F70B6E"/>
    <w:rsid w:val="211D3613"/>
    <w:rsid w:val="235A0C9A"/>
    <w:rsid w:val="247A75E9"/>
    <w:rsid w:val="24B07D26"/>
    <w:rsid w:val="24C02241"/>
    <w:rsid w:val="24F36A82"/>
    <w:rsid w:val="25E57D63"/>
    <w:rsid w:val="25F62CAF"/>
    <w:rsid w:val="2660539D"/>
    <w:rsid w:val="28502D26"/>
    <w:rsid w:val="28A044B5"/>
    <w:rsid w:val="29642907"/>
    <w:rsid w:val="29846F92"/>
    <w:rsid w:val="29ED7CFB"/>
    <w:rsid w:val="2C1268AC"/>
    <w:rsid w:val="2DA30A93"/>
    <w:rsid w:val="2F115BD1"/>
    <w:rsid w:val="303E37B6"/>
    <w:rsid w:val="309B42A6"/>
    <w:rsid w:val="31F12B67"/>
    <w:rsid w:val="32EB75A3"/>
    <w:rsid w:val="34130ADA"/>
    <w:rsid w:val="34EA455F"/>
    <w:rsid w:val="35050D10"/>
    <w:rsid w:val="396E7ECA"/>
    <w:rsid w:val="3C033097"/>
    <w:rsid w:val="3CA63F76"/>
    <w:rsid w:val="3CC320D9"/>
    <w:rsid w:val="3DE132FA"/>
    <w:rsid w:val="3F987ECF"/>
    <w:rsid w:val="405E38FE"/>
    <w:rsid w:val="41094CA1"/>
    <w:rsid w:val="412865C1"/>
    <w:rsid w:val="43301CF1"/>
    <w:rsid w:val="434F0468"/>
    <w:rsid w:val="44D1552E"/>
    <w:rsid w:val="45173940"/>
    <w:rsid w:val="45DB0197"/>
    <w:rsid w:val="46125FA7"/>
    <w:rsid w:val="46602F82"/>
    <w:rsid w:val="47A00D17"/>
    <w:rsid w:val="485C6FFD"/>
    <w:rsid w:val="48CD736E"/>
    <w:rsid w:val="4A23085C"/>
    <w:rsid w:val="4A4A6B9F"/>
    <w:rsid w:val="4B0C76B8"/>
    <w:rsid w:val="4B805085"/>
    <w:rsid w:val="4BAD1BC0"/>
    <w:rsid w:val="4E000F22"/>
    <w:rsid w:val="4EDF2226"/>
    <w:rsid w:val="4F266A55"/>
    <w:rsid w:val="4F916FE9"/>
    <w:rsid w:val="50645F5D"/>
    <w:rsid w:val="50D91E16"/>
    <w:rsid w:val="52491A8D"/>
    <w:rsid w:val="53B714E0"/>
    <w:rsid w:val="547660FD"/>
    <w:rsid w:val="550C73FA"/>
    <w:rsid w:val="581331D1"/>
    <w:rsid w:val="58A0662E"/>
    <w:rsid w:val="593C01B7"/>
    <w:rsid w:val="59523F58"/>
    <w:rsid w:val="5A087F01"/>
    <w:rsid w:val="5ADC5F06"/>
    <w:rsid w:val="5BD712C6"/>
    <w:rsid w:val="5C1F55D0"/>
    <w:rsid w:val="5C201121"/>
    <w:rsid w:val="5C357D73"/>
    <w:rsid w:val="5C9154D7"/>
    <w:rsid w:val="5D335B25"/>
    <w:rsid w:val="5D405D1E"/>
    <w:rsid w:val="5D612877"/>
    <w:rsid w:val="5D7212DC"/>
    <w:rsid w:val="5E3773FA"/>
    <w:rsid w:val="5EED6717"/>
    <w:rsid w:val="5F874269"/>
    <w:rsid w:val="5FCF094A"/>
    <w:rsid w:val="610C1548"/>
    <w:rsid w:val="61DE1212"/>
    <w:rsid w:val="635210F4"/>
    <w:rsid w:val="65E119EF"/>
    <w:rsid w:val="66AB51C4"/>
    <w:rsid w:val="66EC0C01"/>
    <w:rsid w:val="685956C1"/>
    <w:rsid w:val="69280A1D"/>
    <w:rsid w:val="6B0D2B82"/>
    <w:rsid w:val="6BCA6438"/>
    <w:rsid w:val="6C12187B"/>
    <w:rsid w:val="6CC5305A"/>
    <w:rsid w:val="6D390A55"/>
    <w:rsid w:val="6DA16745"/>
    <w:rsid w:val="6DDD6726"/>
    <w:rsid w:val="6E41571E"/>
    <w:rsid w:val="6EC31A27"/>
    <w:rsid w:val="6F246453"/>
    <w:rsid w:val="6F37372B"/>
    <w:rsid w:val="6F4F7231"/>
    <w:rsid w:val="70017EE0"/>
    <w:rsid w:val="71943FDC"/>
    <w:rsid w:val="71D45FA7"/>
    <w:rsid w:val="72137F42"/>
    <w:rsid w:val="731A36C2"/>
    <w:rsid w:val="73D03852"/>
    <w:rsid w:val="757702D9"/>
    <w:rsid w:val="75851341"/>
    <w:rsid w:val="76B71373"/>
    <w:rsid w:val="773537A2"/>
    <w:rsid w:val="78466F81"/>
    <w:rsid w:val="788F00CB"/>
    <w:rsid w:val="792B111A"/>
    <w:rsid w:val="7A405F11"/>
    <w:rsid w:val="7A865028"/>
    <w:rsid w:val="7AAC4D98"/>
    <w:rsid w:val="7B43006F"/>
    <w:rsid w:val="7B860A65"/>
    <w:rsid w:val="7B8F1D08"/>
    <w:rsid w:val="7DB13746"/>
    <w:rsid w:val="7F0933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ocked="1"/>
    <w:lsdException w:qFormat="1" w:unhideWhenUsed="0" w:uiPriority="0" w:semiHidden="0" w:name="heading 4" w:locked="1"/>
    <w:lsdException w:qFormat="1" w:unhideWhenUsed="0" w:uiPriority="9"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77"/>
    <w:qFormat/>
    <w:locked/>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1"/>
    <w:link w:val="62"/>
    <w:qFormat/>
    <w:locked/>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7">
    <w:name w:val="heading 5"/>
    <w:basedOn w:val="1"/>
    <w:next w:val="1"/>
    <w:link w:val="58"/>
    <w:qFormat/>
    <w:locked/>
    <w:uiPriority w:val="9"/>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51"/>
    <w:qFormat/>
    <w:locked/>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76"/>
    <w:qFormat/>
    <w:locked/>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60"/>
    <w:qFormat/>
    <w:locked/>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57"/>
    <w:qFormat/>
    <w:locked/>
    <w:uiPriority w:val="0"/>
    <w:pPr>
      <w:keepNext/>
      <w:keepLines/>
      <w:numPr>
        <w:ilvl w:val="8"/>
        <w:numId w:val="1"/>
      </w:numPr>
      <w:spacing w:before="240" w:after="64" w:line="320" w:lineRule="auto"/>
      <w:outlineLvl w:val="8"/>
    </w:pPr>
    <w:rPr>
      <w:rFonts w:ascii="Arial" w:hAnsi="Arial" w:eastAsia="黑体"/>
    </w:rPr>
  </w:style>
  <w:style w:type="character" w:default="1" w:styleId="31">
    <w:name w:val="Default Paragraph Font"/>
    <w:semiHidden/>
    <w:qFormat/>
    <w:uiPriority w:val="99"/>
  </w:style>
  <w:style w:type="table" w:default="1" w:styleId="29">
    <w:name w:val="Normal Table"/>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99"/>
    <w:pPr>
      <w:ind w:firstLine="420" w:firstLineChars="200"/>
    </w:pPr>
  </w:style>
  <w:style w:type="paragraph" w:styleId="12">
    <w:name w:val="Normal Indent"/>
    <w:basedOn w:val="1"/>
    <w:next w:val="1"/>
    <w:unhideWhenUsed/>
    <w:qFormat/>
    <w:uiPriority w:val="99"/>
    <w:pPr>
      <w:ind w:firstLine="420" w:firstLineChars="200"/>
    </w:pPr>
    <w:rPr>
      <w:rFonts w:ascii="Calibri" w:hAnsi="Calibri" w:eastAsia="宋体" w:cs="Times New Roman"/>
      <w:szCs w:val="24"/>
    </w:rPr>
  </w:style>
  <w:style w:type="paragraph" w:styleId="13">
    <w:name w:val="List Bullet"/>
    <w:basedOn w:val="1"/>
    <w:unhideWhenUsed/>
    <w:qFormat/>
    <w:uiPriority w:val="99"/>
    <w:pPr>
      <w:numPr>
        <w:ilvl w:val="0"/>
        <w:numId w:val="2"/>
      </w:numPr>
      <w:contextualSpacing/>
    </w:pPr>
    <w:rPr>
      <w:rFonts w:ascii="Calibri" w:hAnsi="Calibri"/>
      <w:szCs w:val="22"/>
    </w:rPr>
  </w:style>
  <w:style w:type="paragraph" w:styleId="14">
    <w:name w:val="Document Map"/>
    <w:basedOn w:val="1"/>
    <w:link w:val="55"/>
    <w:qFormat/>
    <w:uiPriority w:val="0"/>
    <w:pPr>
      <w:shd w:val="clear" w:color="auto" w:fill="000080"/>
    </w:pPr>
    <w:rPr>
      <w:sz w:val="2"/>
      <w:szCs w:val="2"/>
    </w:rPr>
  </w:style>
  <w:style w:type="paragraph" w:styleId="15">
    <w:name w:val="annotation text"/>
    <w:basedOn w:val="1"/>
    <w:link w:val="73"/>
    <w:qFormat/>
    <w:uiPriority w:val="0"/>
    <w:pPr>
      <w:jc w:val="left"/>
    </w:pPr>
    <w:rPr>
      <w:rFonts w:ascii="Calibri" w:hAnsi="Calibri"/>
      <w:kern w:val="0"/>
      <w:sz w:val="20"/>
      <w:szCs w:val="20"/>
    </w:rPr>
  </w:style>
  <w:style w:type="paragraph" w:styleId="16">
    <w:name w:val="Body Text"/>
    <w:basedOn w:val="1"/>
    <w:link w:val="65"/>
    <w:qFormat/>
    <w:uiPriority w:val="0"/>
    <w:pPr>
      <w:spacing w:after="120"/>
    </w:pPr>
    <w:rPr>
      <w:color w:val="000000"/>
      <w:kern w:val="0"/>
      <w:sz w:val="24"/>
      <w:szCs w:val="24"/>
    </w:rPr>
  </w:style>
  <w:style w:type="paragraph" w:styleId="17">
    <w:name w:val="Body Text Indent"/>
    <w:basedOn w:val="1"/>
    <w:link w:val="68"/>
    <w:qFormat/>
    <w:uiPriority w:val="0"/>
    <w:pPr>
      <w:ind w:left="1263" w:leftChars="101" w:hanging="944" w:hangingChars="299"/>
    </w:pPr>
    <w:rPr>
      <w:rFonts w:eastAsia="仿宋_GB2312"/>
      <w:kern w:val="0"/>
      <w:sz w:val="32"/>
      <w:szCs w:val="24"/>
    </w:rPr>
  </w:style>
  <w:style w:type="paragraph" w:styleId="18">
    <w:name w:val="toc 3"/>
    <w:basedOn w:val="1"/>
    <w:next w:val="1"/>
    <w:qFormat/>
    <w:locked/>
    <w:uiPriority w:val="39"/>
    <w:pPr>
      <w:tabs>
        <w:tab w:val="right" w:leader="dot" w:pos="8296"/>
      </w:tabs>
      <w:ind w:firstLine="283" w:firstLineChars="135"/>
    </w:pPr>
  </w:style>
  <w:style w:type="paragraph" w:styleId="19">
    <w:name w:val="Plain Text"/>
    <w:basedOn w:val="1"/>
    <w:link w:val="69"/>
    <w:qFormat/>
    <w:uiPriority w:val="0"/>
    <w:pPr>
      <w:spacing w:beforeLines="50" w:afterLines="50" w:line="312" w:lineRule="auto"/>
      <w:ind w:firstLine="200" w:firstLineChars="200"/>
    </w:pPr>
    <w:rPr>
      <w:rFonts w:ascii="宋体" w:hAnsi="Courier New"/>
    </w:rPr>
  </w:style>
  <w:style w:type="paragraph" w:styleId="20">
    <w:name w:val="Date"/>
    <w:basedOn w:val="1"/>
    <w:next w:val="1"/>
    <w:link w:val="66"/>
    <w:qFormat/>
    <w:uiPriority w:val="0"/>
    <w:pPr>
      <w:ind w:left="100" w:leftChars="2500"/>
    </w:pPr>
    <w:rPr>
      <w:sz w:val="24"/>
      <w:szCs w:val="24"/>
    </w:rPr>
  </w:style>
  <w:style w:type="paragraph" w:styleId="21">
    <w:name w:val="Body Text Indent 2"/>
    <w:basedOn w:val="1"/>
    <w:link w:val="52"/>
    <w:qFormat/>
    <w:uiPriority w:val="0"/>
    <w:pPr>
      <w:widowControl/>
      <w:spacing w:line="360" w:lineRule="auto"/>
      <w:ind w:firstLine="560" w:firstLineChars="200"/>
    </w:pPr>
    <w:rPr>
      <w:rFonts w:ascii="仿宋_GB2312"/>
      <w:kern w:val="0"/>
      <w:sz w:val="28"/>
      <w:szCs w:val="24"/>
    </w:rPr>
  </w:style>
  <w:style w:type="paragraph" w:styleId="22">
    <w:name w:val="Balloon Text"/>
    <w:basedOn w:val="1"/>
    <w:link w:val="54"/>
    <w:qFormat/>
    <w:uiPriority w:val="0"/>
    <w:rPr>
      <w:kern w:val="0"/>
      <w:sz w:val="18"/>
      <w:szCs w:val="18"/>
    </w:rPr>
  </w:style>
  <w:style w:type="paragraph" w:styleId="23">
    <w:name w:val="footer"/>
    <w:basedOn w:val="1"/>
    <w:link w:val="71"/>
    <w:qFormat/>
    <w:uiPriority w:val="0"/>
    <w:pPr>
      <w:tabs>
        <w:tab w:val="center" w:pos="4153"/>
        <w:tab w:val="right" w:pos="8306"/>
      </w:tabs>
      <w:snapToGrid w:val="0"/>
      <w:jc w:val="left"/>
    </w:pPr>
    <w:rPr>
      <w:sz w:val="18"/>
      <w:szCs w:val="18"/>
    </w:rPr>
  </w:style>
  <w:style w:type="paragraph" w:styleId="24">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locked/>
    <w:uiPriority w:val="39"/>
  </w:style>
  <w:style w:type="paragraph" w:styleId="26">
    <w:name w:val="toc 2"/>
    <w:basedOn w:val="1"/>
    <w:next w:val="1"/>
    <w:qFormat/>
    <w:locked/>
    <w:uiPriority w:val="39"/>
    <w:pPr>
      <w:ind w:left="420" w:leftChars="200"/>
    </w:pPr>
  </w:style>
  <w:style w:type="paragraph" w:styleId="27">
    <w:name w:val="Normal (Web)"/>
    <w:basedOn w:val="1"/>
    <w:unhideWhenUsed/>
    <w:qFormat/>
    <w:uiPriority w:val="99"/>
    <w:pPr>
      <w:spacing w:before="0" w:beforeAutospacing="1" w:after="0" w:afterAutospacing="1"/>
      <w:ind w:left="0" w:right="0"/>
      <w:jc w:val="left"/>
    </w:pPr>
    <w:rPr>
      <w:rFonts w:ascii="宋体" w:hAnsi="宋体" w:eastAsia="宋体" w:cs="宋体"/>
      <w:kern w:val="0"/>
      <w:sz w:val="24"/>
      <w:lang w:val="en-US" w:eastAsia="zh-CN" w:bidi="ar"/>
    </w:rPr>
  </w:style>
  <w:style w:type="paragraph" w:styleId="28">
    <w:name w:val="annotation subject"/>
    <w:basedOn w:val="15"/>
    <w:next w:val="15"/>
    <w:link w:val="67"/>
    <w:qFormat/>
    <w:uiPriority w:val="0"/>
    <w:rPr>
      <w:b/>
      <w:bCs/>
    </w:rPr>
  </w:style>
  <w:style w:type="table" w:styleId="30">
    <w:name w:val="Table Grid"/>
    <w:basedOn w:val="29"/>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qFormat/>
    <w:uiPriority w:val="0"/>
  </w:style>
  <w:style w:type="character" w:styleId="33">
    <w:name w:val="Hyperlink"/>
    <w:unhideWhenUsed/>
    <w:qFormat/>
    <w:uiPriority w:val="99"/>
    <w:rPr>
      <w:color w:val="0000FF"/>
      <w:u w:val="single"/>
    </w:rPr>
  </w:style>
  <w:style w:type="character" w:styleId="34">
    <w:name w:val="annotation reference"/>
    <w:unhideWhenUsed/>
    <w:qFormat/>
    <w:uiPriority w:val="0"/>
    <w:rPr>
      <w:sz w:val="21"/>
      <w:szCs w:val="21"/>
    </w:rPr>
  </w:style>
  <w:style w:type="character" w:customStyle="1" w:styleId="35">
    <w:name w:val="标题 2 Char"/>
    <w:link w:val="4"/>
    <w:qFormat/>
    <w:locked/>
    <w:uiPriority w:val="0"/>
    <w:rPr>
      <w:rFonts w:ascii="Cambria" w:hAnsi="Cambria" w:eastAsia="宋体" w:cs="Cambria"/>
      <w:b/>
      <w:bCs/>
      <w:kern w:val="2"/>
      <w:sz w:val="32"/>
      <w:szCs w:val="32"/>
    </w:rPr>
  </w:style>
  <w:style w:type="paragraph" w:customStyle="1" w:styleId="36">
    <w:name w:val="标题二"/>
    <w:basedOn w:val="37"/>
    <w:qFormat/>
    <w:uiPriority w:val="0"/>
    <w:pPr>
      <w:numPr>
        <w:ilvl w:val="1"/>
      </w:numPr>
      <w:spacing w:before="120" w:after="120"/>
      <w:outlineLvl w:val="1"/>
    </w:pPr>
  </w:style>
  <w:style w:type="paragraph" w:customStyle="1" w:styleId="37">
    <w:name w:val="标题一"/>
    <w:qFormat/>
    <w:uiPriority w:val="0"/>
    <w:pPr>
      <w:numPr>
        <w:ilvl w:val="0"/>
        <w:numId w:val="3"/>
      </w:numPr>
      <w:outlineLvl w:val="0"/>
    </w:pPr>
    <w:rPr>
      <w:rFonts w:ascii="仿宋_GB2312" w:hAnsi="Calibri" w:eastAsia="仿宋_GB2312" w:cs="Times New Roman"/>
      <w:b/>
      <w:kern w:val="2"/>
      <w:sz w:val="30"/>
      <w:szCs w:val="30"/>
      <w:lang w:val="en-US" w:eastAsia="zh-CN" w:bidi="ar-SA"/>
    </w:rPr>
  </w:style>
  <w:style w:type="character" w:customStyle="1" w:styleId="38">
    <w:name w:val="标题 1 Char"/>
    <w:link w:val="3"/>
    <w:qFormat/>
    <w:locked/>
    <w:uiPriority w:val="0"/>
    <w:rPr>
      <w:rFonts w:eastAsia="宋体"/>
      <w:b/>
      <w:bCs/>
      <w:kern w:val="44"/>
      <w:sz w:val="44"/>
      <w:szCs w:val="44"/>
      <w:lang w:val="en-US" w:eastAsia="zh-CN"/>
    </w:rPr>
  </w:style>
  <w:style w:type="paragraph" w:customStyle="1" w:styleId="39">
    <w:name w:val="列出段落4"/>
    <w:basedOn w:val="1"/>
    <w:qFormat/>
    <w:uiPriority w:val="0"/>
    <w:pPr>
      <w:ind w:firstLine="420" w:firstLineChars="200"/>
    </w:pPr>
    <w:rPr>
      <w:rFonts w:ascii="Calibri" w:hAnsi="Calibri"/>
      <w:szCs w:val="22"/>
    </w:rPr>
  </w:style>
  <w:style w:type="paragraph" w:customStyle="1" w:styleId="40">
    <w:name w:val="样式 右"/>
    <w:basedOn w:val="1"/>
    <w:qFormat/>
    <w:uiPriority w:val="99"/>
    <w:pPr>
      <w:snapToGrid w:val="0"/>
      <w:jc w:val="center"/>
    </w:pPr>
    <w:rPr>
      <w:rFonts w:ascii="宋体" w:hAnsi="宋体" w:cs="宋体"/>
      <w:color w:val="FF0000"/>
    </w:rPr>
  </w:style>
  <w:style w:type="paragraph" w:customStyle="1" w:styleId="41">
    <w:name w:val=" Char"/>
    <w:basedOn w:val="1"/>
    <w:qFormat/>
    <w:uiPriority w:val="0"/>
    <w:rPr>
      <w:szCs w:val="20"/>
    </w:rPr>
  </w:style>
  <w:style w:type="paragraph" w:customStyle="1" w:styleId="42">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b/>
      <w:bCs/>
      <w:kern w:val="0"/>
      <w:sz w:val="18"/>
      <w:szCs w:val="18"/>
    </w:rPr>
  </w:style>
  <w:style w:type="paragraph" w:customStyle="1" w:styleId="43">
    <w:name w:val="Char Char1 Char Char Char Char Char Char"/>
    <w:basedOn w:val="1"/>
    <w:qFormat/>
    <w:uiPriority w:val="0"/>
    <w:pPr>
      <w:widowControl/>
      <w:spacing w:after="160" w:line="240" w:lineRule="exact"/>
      <w:jc w:val="left"/>
    </w:pPr>
    <w:rPr>
      <w:szCs w:val="24"/>
    </w:rPr>
  </w:style>
  <w:style w:type="paragraph" w:customStyle="1" w:styleId="44">
    <w:name w:val="List Paragraph"/>
    <w:basedOn w:val="1"/>
    <w:qFormat/>
    <w:uiPriority w:val="0"/>
    <w:pPr>
      <w:ind w:firstLine="420" w:firstLineChars="200"/>
    </w:pPr>
    <w:rPr>
      <w:rFonts w:ascii="Calibri" w:hAnsi="Calibri"/>
      <w:szCs w:val="22"/>
    </w:rPr>
  </w:style>
  <w:style w:type="paragraph" w:customStyle="1" w:styleId="45">
    <w:name w:val="列出段落2"/>
    <w:basedOn w:val="1"/>
    <w:qFormat/>
    <w:uiPriority w:val="0"/>
    <w:pPr>
      <w:ind w:firstLine="420" w:firstLineChars="200"/>
    </w:pPr>
    <w:rPr>
      <w:rFonts w:ascii="Calibri" w:hAnsi="Calibri"/>
      <w:szCs w:val="22"/>
    </w:rPr>
  </w:style>
  <w:style w:type="paragraph" w:customStyle="1" w:styleId="46">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图表目录1"/>
    <w:basedOn w:val="47"/>
    <w:next w:val="47"/>
    <w:qFormat/>
    <w:uiPriority w:val="0"/>
    <w:pPr>
      <w:ind w:left="200" w:leftChars="200" w:hanging="200" w:hangingChars="200"/>
    </w:pPr>
  </w:style>
  <w:style w:type="paragraph" w:customStyle="1" w:styleId="49">
    <w:name w:val="表格"/>
    <w:link w:val="56"/>
    <w:qFormat/>
    <w:uiPriority w:val="99"/>
    <w:pPr>
      <w:jc w:val="center"/>
    </w:pPr>
    <w:rPr>
      <w:rFonts w:ascii="Calibri" w:hAnsi="Calibri" w:eastAsia="宋体" w:cs="Calibri"/>
      <w:kern w:val="2"/>
      <w:sz w:val="21"/>
      <w:szCs w:val="21"/>
      <w:lang w:val="en-US" w:eastAsia="zh-CN" w:bidi="ar-SA"/>
    </w:rPr>
  </w:style>
  <w:style w:type="paragraph" w:customStyle="1" w:styleId="50">
    <w:name w:val="正文de样式"/>
    <w:qFormat/>
    <w:uiPriority w:val="0"/>
    <w:pPr>
      <w:adjustRightInd w:val="0"/>
      <w:snapToGrid w:val="0"/>
      <w:spacing w:line="312" w:lineRule="auto"/>
      <w:ind w:firstLine="200" w:firstLineChars="200"/>
      <w:jc w:val="both"/>
    </w:pPr>
    <w:rPr>
      <w:rFonts w:ascii="宋体" w:hAnsi="宋体" w:eastAsia="宋体" w:cs="Times New Roman"/>
      <w:kern w:val="2"/>
      <w:sz w:val="24"/>
      <w:szCs w:val="22"/>
      <w:lang w:val="en-US" w:eastAsia="zh-CN" w:bidi="ar-SA"/>
    </w:rPr>
  </w:style>
  <w:style w:type="character" w:customStyle="1" w:styleId="51">
    <w:name w:val="标题 6 Char"/>
    <w:link w:val="8"/>
    <w:qFormat/>
    <w:uiPriority w:val="0"/>
    <w:rPr>
      <w:rFonts w:ascii="Arial" w:hAnsi="Arial" w:eastAsia="黑体"/>
      <w:b/>
      <w:bCs/>
      <w:kern w:val="2"/>
      <w:sz w:val="24"/>
      <w:szCs w:val="24"/>
    </w:rPr>
  </w:style>
  <w:style w:type="character" w:customStyle="1" w:styleId="52">
    <w:name w:val="正文文本缩进 2 Char"/>
    <w:link w:val="21"/>
    <w:qFormat/>
    <w:uiPriority w:val="0"/>
    <w:rPr>
      <w:rFonts w:ascii="仿宋_GB2312"/>
      <w:sz w:val="28"/>
      <w:szCs w:val="24"/>
    </w:rPr>
  </w:style>
  <w:style w:type="character" w:customStyle="1" w:styleId="53">
    <w:name w:val="批注文字 Char1"/>
    <w:semiHidden/>
    <w:qFormat/>
    <w:uiPriority w:val="99"/>
    <w:rPr>
      <w:kern w:val="2"/>
      <w:sz w:val="21"/>
      <w:szCs w:val="21"/>
    </w:rPr>
  </w:style>
  <w:style w:type="character" w:customStyle="1" w:styleId="54">
    <w:name w:val="批注框文本 Char"/>
    <w:link w:val="22"/>
    <w:qFormat/>
    <w:uiPriority w:val="0"/>
    <w:rPr>
      <w:sz w:val="18"/>
      <w:szCs w:val="18"/>
    </w:rPr>
  </w:style>
  <w:style w:type="character" w:customStyle="1" w:styleId="55">
    <w:name w:val="文档结构图 Char"/>
    <w:link w:val="14"/>
    <w:qFormat/>
    <w:locked/>
    <w:uiPriority w:val="0"/>
    <w:rPr>
      <w:kern w:val="2"/>
      <w:sz w:val="2"/>
      <w:szCs w:val="2"/>
    </w:rPr>
  </w:style>
  <w:style w:type="character" w:customStyle="1" w:styleId="56">
    <w:name w:val="表格 Char"/>
    <w:link w:val="49"/>
    <w:qFormat/>
    <w:locked/>
    <w:uiPriority w:val="99"/>
    <w:rPr>
      <w:rFonts w:ascii="Calibri" w:hAnsi="Calibri" w:cs="Calibri"/>
      <w:kern w:val="2"/>
      <w:sz w:val="21"/>
      <w:szCs w:val="21"/>
      <w:lang w:val="en-US" w:eastAsia="zh-CN" w:bidi="ar-SA"/>
    </w:rPr>
  </w:style>
  <w:style w:type="character" w:customStyle="1" w:styleId="57">
    <w:name w:val="标题 9 Char"/>
    <w:link w:val="11"/>
    <w:qFormat/>
    <w:uiPriority w:val="0"/>
    <w:rPr>
      <w:rFonts w:ascii="Arial" w:hAnsi="Arial" w:eastAsia="黑体"/>
      <w:kern w:val="2"/>
      <w:sz w:val="21"/>
      <w:szCs w:val="21"/>
    </w:rPr>
  </w:style>
  <w:style w:type="character" w:customStyle="1" w:styleId="58">
    <w:name w:val="标题 5 Char"/>
    <w:link w:val="7"/>
    <w:qFormat/>
    <w:uiPriority w:val="9"/>
    <w:rPr>
      <w:b/>
      <w:bCs/>
      <w:kern w:val="2"/>
      <w:sz w:val="28"/>
      <w:szCs w:val="28"/>
    </w:rPr>
  </w:style>
  <w:style w:type="character" w:customStyle="1" w:styleId="59">
    <w:name w:val="批注框文本 Char1"/>
    <w:semiHidden/>
    <w:qFormat/>
    <w:uiPriority w:val="99"/>
    <w:rPr>
      <w:kern w:val="2"/>
      <w:sz w:val="18"/>
      <w:szCs w:val="18"/>
    </w:rPr>
  </w:style>
  <w:style w:type="character" w:customStyle="1" w:styleId="60">
    <w:name w:val="标题 8 Char"/>
    <w:link w:val="10"/>
    <w:qFormat/>
    <w:uiPriority w:val="0"/>
    <w:rPr>
      <w:rFonts w:ascii="Arial" w:hAnsi="Arial" w:eastAsia="黑体"/>
      <w:kern w:val="2"/>
      <w:sz w:val="24"/>
      <w:szCs w:val="24"/>
    </w:rPr>
  </w:style>
  <w:style w:type="character" w:customStyle="1" w:styleId="61">
    <w:name w:val="Plain Text Char"/>
    <w:qFormat/>
    <w:locked/>
    <w:uiPriority w:val="99"/>
    <w:rPr>
      <w:rFonts w:ascii="宋体" w:hAnsi="Courier New" w:cs="宋体"/>
      <w:sz w:val="21"/>
      <w:szCs w:val="21"/>
    </w:rPr>
  </w:style>
  <w:style w:type="character" w:customStyle="1" w:styleId="62">
    <w:name w:val="标题 4 Char"/>
    <w:link w:val="6"/>
    <w:qFormat/>
    <w:uiPriority w:val="0"/>
    <w:rPr>
      <w:rFonts w:ascii="Arial" w:hAnsi="Arial" w:eastAsia="黑体"/>
      <w:b/>
      <w:bCs/>
      <w:kern w:val="2"/>
      <w:sz w:val="28"/>
      <w:szCs w:val="28"/>
    </w:rPr>
  </w:style>
  <w:style w:type="character" w:customStyle="1" w:styleId="63">
    <w:name w:val="正文文本 Char1"/>
    <w:semiHidden/>
    <w:qFormat/>
    <w:uiPriority w:val="99"/>
    <w:rPr>
      <w:kern w:val="2"/>
      <w:sz w:val="21"/>
      <w:szCs w:val="21"/>
    </w:rPr>
  </w:style>
  <w:style w:type="character" w:customStyle="1" w:styleId="64">
    <w:name w:val="正文文本缩进 Char1"/>
    <w:semiHidden/>
    <w:qFormat/>
    <w:uiPriority w:val="99"/>
    <w:rPr>
      <w:kern w:val="2"/>
      <w:sz w:val="21"/>
      <w:szCs w:val="21"/>
    </w:rPr>
  </w:style>
  <w:style w:type="character" w:customStyle="1" w:styleId="65">
    <w:name w:val="正文文本 Char"/>
    <w:link w:val="16"/>
    <w:qFormat/>
    <w:uiPriority w:val="0"/>
    <w:rPr>
      <w:color w:val="000000"/>
      <w:sz w:val="24"/>
      <w:szCs w:val="24"/>
    </w:rPr>
  </w:style>
  <w:style w:type="character" w:customStyle="1" w:styleId="66">
    <w:name w:val="日期 Char"/>
    <w:link w:val="20"/>
    <w:qFormat/>
    <w:locked/>
    <w:uiPriority w:val="0"/>
    <w:rPr>
      <w:kern w:val="2"/>
      <w:sz w:val="24"/>
      <w:szCs w:val="24"/>
    </w:rPr>
  </w:style>
  <w:style w:type="character" w:customStyle="1" w:styleId="67">
    <w:name w:val="批注主题 Char"/>
    <w:link w:val="28"/>
    <w:qFormat/>
    <w:uiPriority w:val="0"/>
    <w:rPr>
      <w:rFonts w:ascii="Calibri" w:hAnsi="Calibri"/>
      <w:b/>
      <w:bCs/>
    </w:rPr>
  </w:style>
  <w:style w:type="character" w:customStyle="1" w:styleId="68">
    <w:name w:val="正文文本缩进 Char"/>
    <w:link w:val="17"/>
    <w:qFormat/>
    <w:uiPriority w:val="0"/>
    <w:rPr>
      <w:rFonts w:eastAsia="仿宋_GB2312"/>
      <w:sz w:val="32"/>
      <w:szCs w:val="24"/>
    </w:rPr>
  </w:style>
  <w:style w:type="character" w:customStyle="1" w:styleId="69">
    <w:name w:val="纯文本 Char"/>
    <w:link w:val="19"/>
    <w:qFormat/>
    <w:locked/>
    <w:uiPriority w:val="0"/>
    <w:rPr>
      <w:rFonts w:ascii="宋体" w:hAnsi="Courier New" w:cs="宋体"/>
      <w:kern w:val="2"/>
      <w:sz w:val="21"/>
      <w:szCs w:val="21"/>
    </w:rPr>
  </w:style>
  <w:style w:type="character" w:customStyle="1" w:styleId="70">
    <w:name w:val="font21"/>
    <w:basedOn w:val="31"/>
    <w:qFormat/>
    <w:uiPriority w:val="0"/>
    <w:rPr>
      <w:rFonts w:hint="eastAsia" w:ascii="宋体" w:hAnsi="宋体" w:eastAsia="宋体" w:cs="宋体"/>
      <w:color w:val="000000"/>
      <w:sz w:val="20"/>
      <w:szCs w:val="20"/>
      <w:u w:val="none"/>
    </w:rPr>
  </w:style>
  <w:style w:type="character" w:customStyle="1" w:styleId="71">
    <w:name w:val="页脚 Char"/>
    <w:link w:val="23"/>
    <w:qFormat/>
    <w:locked/>
    <w:uiPriority w:val="0"/>
    <w:rPr>
      <w:kern w:val="2"/>
      <w:sz w:val="18"/>
      <w:szCs w:val="18"/>
    </w:rPr>
  </w:style>
  <w:style w:type="character" w:customStyle="1" w:styleId="72">
    <w:name w:val="页眉 Char"/>
    <w:link w:val="24"/>
    <w:qFormat/>
    <w:locked/>
    <w:uiPriority w:val="0"/>
    <w:rPr>
      <w:kern w:val="2"/>
      <w:sz w:val="18"/>
      <w:szCs w:val="18"/>
    </w:rPr>
  </w:style>
  <w:style w:type="character" w:customStyle="1" w:styleId="73">
    <w:name w:val="批注文字 Char"/>
    <w:link w:val="15"/>
    <w:qFormat/>
    <w:uiPriority w:val="0"/>
    <w:rPr>
      <w:rFonts w:ascii="Calibri" w:hAnsi="Calibri"/>
    </w:rPr>
  </w:style>
  <w:style w:type="character" w:customStyle="1" w:styleId="74">
    <w:name w:val="批注主题 Char1"/>
    <w:semiHidden/>
    <w:qFormat/>
    <w:uiPriority w:val="99"/>
    <w:rPr>
      <w:b/>
      <w:bCs/>
      <w:kern w:val="2"/>
      <w:sz w:val="21"/>
      <w:szCs w:val="21"/>
    </w:rPr>
  </w:style>
  <w:style w:type="character" w:customStyle="1" w:styleId="75">
    <w:name w:val="正文文本缩进 2 Char1"/>
    <w:semiHidden/>
    <w:qFormat/>
    <w:uiPriority w:val="99"/>
    <w:rPr>
      <w:kern w:val="2"/>
      <w:sz w:val="21"/>
      <w:szCs w:val="21"/>
    </w:rPr>
  </w:style>
  <w:style w:type="character" w:customStyle="1" w:styleId="76">
    <w:name w:val="标题 7 Char"/>
    <w:link w:val="9"/>
    <w:qFormat/>
    <w:uiPriority w:val="0"/>
    <w:rPr>
      <w:b/>
      <w:bCs/>
      <w:kern w:val="2"/>
      <w:sz w:val="24"/>
      <w:szCs w:val="24"/>
    </w:rPr>
  </w:style>
  <w:style w:type="character" w:customStyle="1" w:styleId="77">
    <w:name w:val="标题 3 Char"/>
    <w:link w:val="5"/>
    <w:qFormat/>
    <w:uiPriority w:val="0"/>
    <w:rPr>
      <w:rFonts w:ascii="Calibri" w:hAnsi="Calibri"/>
      <w:b/>
      <w:bCs/>
      <w:kern w:val="2"/>
      <w:sz w:val="32"/>
      <w:szCs w:val="32"/>
    </w:rPr>
  </w:style>
  <w:style w:type="paragraph" w:customStyle="1" w:styleId="78">
    <w:name w:val="正文 New New New New New New New New New New New New New New New New New New New"/>
    <w:qFormat/>
    <w:uiPriority w:val="0"/>
    <w:pPr>
      <w:widowControl w:val="0"/>
      <w:spacing w:before="0" w:beforeLines="0" w:after="0" w:afterLines="0" w:line="346" w:lineRule="auto"/>
      <w:ind w:left="1" w:right="0" w:firstLine="419" w:firstLineChars="0"/>
      <w:jc w:val="both"/>
      <w:textAlignment w:val="bottom"/>
    </w:pPr>
    <w:rPr>
      <w:rFonts w:ascii="Times New Roman" w:hAnsi="Times New Roman" w:eastAsia="仿宋_GB2312" w:cs="Times New Roman"/>
      <w:sz w:val="32"/>
    </w:rPr>
  </w:style>
  <w:style w:type="paragraph" w:customStyle="1" w:styleId="7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81">
    <w:name w:val="font11"/>
    <w:basedOn w:val="31"/>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23</Pages>
  <Words>1711</Words>
  <Characters>9756</Characters>
  <Lines>81</Lines>
  <Paragraphs>22</Paragraphs>
  <TotalTime>34</TotalTime>
  <ScaleCrop>false</ScaleCrop>
  <LinksUpToDate>false</LinksUpToDate>
  <CharactersWithSpaces>11445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2018-01-02T03:08:00Z</dcterms:created>
  <dc:creator>微软用户</dc:creator>
  <cp:lastModifiedBy>Administrator</cp:lastModifiedBy>
  <cp:lastPrinted>2016-06-13T02:54:00Z</cp:lastPrinted>
  <dcterms:modified xsi:type="dcterms:W3CDTF">2023-10-07T14:53:09Z</dcterms:modified>
  <dc:title>（）月供电可靠性分析报告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756F2F8586864BFEA6906C81C441E9FB</vt:lpwstr>
  </property>
</Properties>
</file>