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华文中宋" w:hAnsi="华文中宋" w:eastAsia="华文中宋" w:cs="华文中宋"/>
          <w:color w:val="000000" w:themeColor="text1"/>
          <w:sz w:val="44"/>
          <w:szCs w:val="44"/>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附件5                </w:t>
      </w:r>
      <w:bookmarkStart w:id="0" w:name="_GoBack"/>
      <w:bookmarkEnd w:id="0"/>
      <w:r>
        <w:rPr>
          <w:rFonts w:hint="eastAsia" w:ascii="华文中宋" w:hAnsi="华文中宋" w:eastAsia="华文中宋" w:cs="华文中宋"/>
          <w:color w:val="000000" w:themeColor="text1"/>
          <w:sz w:val="44"/>
          <w:szCs w:val="44"/>
          <w:lang w:eastAsia="zh-CN"/>
          <w14:textFill>
            <w14:solidFill>
              <w14:schemeClr w14:val="tx1"/>
            </w14:solidFill>
          </w14:textFill>
        </w:rPr>
        <w:t>重大行政执法决定</w:t>
      </w:r>
      <w:r>
        <w:rPr>
          <w:rFonts w:hint="eastAsia" w:ascii="华文中宋" w:hAnsi="华文中宋" w:eastAsia="华文中宋" w:cs="华文中宋"/>
          <w:color w:val="000000" w:themeColor="text1"/>
          <w:sz w:val="44"/>
          <w:szCs w:val="44"/>
          <w:lang w:val="en-US" w:eastAsia="zh-CN"/>
          <w14:textFill>
            <w14:solidFill>
              <w14:schemeClr w14:val="tx1"/>
            </w14:solidFill>
          </w14:textFill>
        </w:rPr>
        <w:t>法制</w:t>
      </w:r>
      <w:r>
        <w:rPr>
          <w:rFonts w:hint="eastAsia" w:ascii="华文中宋" w:hAnsi="华文中宋" w:eastAsia="华文中宋" w:cs="华文中宋"/>
          <w:color w:val="000000" w:themeColor="text1"/>
          <w:sz w:val="44"/>
          <w:szCs w:val="44"/>
          <w:lang w:eastAsia="zh-CN"/>
          <w14:textFill>
            <w14:solidFill>
              <w14:schemeClr w14:val="tx1"/>
            </w14:solidFill>
          </w14:textFill>
        </w:rPr>
        <w:t>审核事项清单</w:t>
      </w:r>
    </w:p>
    <w:p>
      <w:pPr>
        <w:jc w:val="center"/>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 xml:space="preserve">    年 第   版</w:t>
      </w:r>
      <w:r>
        <w:rPr>
          <w:rFonts w:hint="eastAsia" w:ascii="楷体" w:hAnsi="楷体" w:eastAsia="楷体" w:cs="楷体"/>
          <w:color w:val="000000" w:themeColor="text1"/>
          <w:sz w:val="32"/>
          <w:szCs w:val="32"/>
          <w:lang w:eastAsia="zh-CN"/>
          <w14:textFill>
            <w14:solidFill>
              <w14:schemeClr w14:val="tx1"/>
            </w14:solidFill>
          </w14:textFill>
        </w:rPr>
        <w:t>）</w:t>
      </w:r>
    </w:p>
    <w:p>
      <w:pPr>
        <w:jc w:val="left"/>
        <w:rPr>
          <w:rFonts w:hint="eastAsia"/>
          <w:color w:val="000000" w:themeColor="text1"/>
          <w:sz w:val="30"/>
          <w:szCs w:val="30"/>
          <w:lang w:eastAsia="zh-CN"/>
          <w14:textFill>
            <w14:solidFill>
              <w14:schemeClr w14:val="tx1"/>
            </w14:solidFill>
          </w14:textFill>
        </w:rPr>
      </w:pPr>
      <w:r>
        <w:rPr>
          <w:rFonts w:hint="eastAsia"/>
          <w:color w:val="000000" w:themeColor="text1"/>
          <w:sz w:val="30"/>
          <w:szCs w:val="30"/>
          <w:lang w:eastAsia="zh-CN"/>
          <w14:textFill>
            <w14:solidFill>
              <w14:schemeClr w14:val="tx1"/>
            </w14:solidFill>
          </w14:textFill>
        </w:rPr>
        <w:t>填报单位：（盖章）包头市工业和信息化局</w:t>
      </w:r>
    </w:p>
    <w:tbl>
      <w:tblPr>
        <w:tblStyle w:val="4"/>
        <w:tblW w:w="13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502"/>
        <w:gridCol w:w="3851"/>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63" w:hRule="atLeast"/>
        </w:trPr>
        <w:tc>
          <w:tcPr>
            <w:tcW w:w="863"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t>序号</w:t>
            </w:r>
          </w:p>
        </w:tc>
        <w:tc>
          <w:tcPr>
            <w:tcW w:w="150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t>执法类别</w:t>
            </w:r>
          </w:p>
        </w:tc>
        <w:tc>
          <w:tcPr>
            <w:tcW w:w="3851"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t>事项名称</w:t>
            </w:r>
          </w:p>
        </w:tc>
        <w:tc>
          <w:tcPr>
            <w:tcW w:w="738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t>法制</w:t>
            </w: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审核</w:t>
            </w:r>
            <w: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t>内容</w:t>
            </w: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31" w:hRule="exact"/>
        </w:trPr>
        <w:tc>
          <w:tcPr>
            <w:tcW w:w="863" w:type="dxa"/>
            <w:vAlign w:val="center"/>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t>1</w:t>
            </w:r>
          </w:p>
        </w:tc>
        <w:tc>
          <w:tcPr>
            <w:tcW w:w="150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snapToGrid w:val="0"/>
              <w:spacing w:line="220" w:lineRule="atLeast"/>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宋体" w:hAnsi="宋体" w:eastAsia="宋体" w:cs="宋体"/>
                <w:kern w:val="0"/>
                <w:sz w:val="24"/>
                <w:szCs w:val="24"/>
              </w:rPr>
              <w:t>对固定资产投资项目建设单位开工建设不符合强制性节能标准的项目或者将该项目投入生产、使用的处罚</w:t>
            </w:r>
          </w:p>
        </w:tc>
        <w:tc>
          <w:tcPr>
            <w:tcW w:w="7382" w:type="dxa"/>
            <w:vAlign w:val="center"/>
          </w:tcPr>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审核内容：</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（一）行政机关主体及其行政执法人员是否适合；</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（二）认定事实是否清楚，证据是否确实、充分；</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w:t>
            </w:r>
            <w:r>
              <w:rPr>
                <w:rFonts w:hint="eastAsia" w:ascii="宋体" w:hAnsi="宋体" w:eastAsia="宋体" w:cs="宋体"/>
                <w:kern w:val="0"/>
                <w:sz w:val="18"/>
                <w:szCs w:val="18"/>
                <w:lang w:val="zh-CN"/>
              </w:rPr>
              <w:t>三）适用依据是否正确；</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（四）行政裁量是否适当；</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（五）程序是否合法；</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（六）行政执法文书是否规范；</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（七）法律法规规章以及规范性文件规定或者行政机关认为应当审核的其他内容。</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标准：</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（一）对公民处以1万元以上罚款，对法人或者其他组织处以10万元以上罚款的；</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（二）没收违法所得数额或者没收非法财物价值相当于第一项规定的；</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（三）责令停产停业的；</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（四）吊销许可证或者企业营业执照的（移送）；</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（五）行政拘留(移送）；</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（六）减轻行政处罚决定；</w:t>
            </w:r>
          </w:p>
          <w:p>
            <w:pPr>
              <w:widowControl/>
              <w:snapToGrid w:val="0"/>
              <w:spacing w:line="220" w:lineRule="atLeast"/>
              <w:rPr>
                <w:rFonts w:hint="default" w:ascii="宋体" w:hAnsi="宋体" w:eastAsia="宋体" w:cs="宋体"/>
                <w:kern w:val="0"/>
                <w:sz w:val="24"/>
                <w:szCs w:val="24"/>
                <w:lang w:val="zh-CN" w:eastAsia="zh-CN"/>
              </w:rPr>
            </w:pPr>
            <w:r>
              <w:rPr>
                <w:rFonts w:hint="eastAsia" w:ascii="宋体" w:hAnsi="宋体" w:eastAsia="宋体" w:cs="宋体"/>
                <w:kern w:val="0"/>
                <w:sz w:val="18"/>
                <w:szCs w:val="18"/>
                <w:lang w:val="zh-CN"/>
              </w:rPr>
              <w:t>（七）法律法规规章和规范性文件规定以及行政机关认定的其他重大行政处罚事项。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6" w:hRule="exact"/>
        </w:trPr>
        <w:tc>
          <w:tcPr>
            <w:tcW w:w="863" w:type="dxa"/>
            <w:vAlign w:val="center"/>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t>2</w:t>
            </w:r>
          </w:p>
        </w:tc>
        <w:tc>
          <w:tcPr>
            <w:tcW w:w="150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宋体" w:hAnsi="宋体" w:eastAsia="宋体" w:cs="宋体"/>
                <w:kern w:val="0"/>
                <w:sz w:val="24"/>
                <w:szCs w:val="24"/>
              </w:rPr>
              <w:t>对工业企业使用国家明令淘汰的用能设备或者生产工艺的处罚</w:t>
            </w:r>
          </w:p>
        </w:tc>
        <w:tc>
          <w:tcPr>
            <w:tcW w:w="738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6" w:hRule="exact"/>
        </w:trPr>
        <w:tc>
          <w:tcPr>
            <w:tcW w:w="863" w:type="dxa"/>
            <w:vAlign w:val="center"/>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t>3</w:t>
            </w:r>
          </w:p>
        </w:tc>
        <w:tc>
          <w:tcPr>
            <w:tcW w:w="150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宋体" w:hAnsi="宋体" w:eastAsia="宋体" w:cs="宋体"/>
                <w:kern w:val="0"/>
                <w:sz w:val="24"/>
                <w:szCs w:val="24"/>
              </w:rPr>
              <w:t>对工业生产单位超过单位产品能耗限额标准用能的处罚</w:t>
            </w:r>
          </w:p>
        </w:tc>
        <w:tc>
          <w:tcPr>
            <w:tcW w:w="738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6" w:hRule="exact"/>
        </w:trPr>
        <w:tc>
          <w:tcPr>
            <w:tcW w:w="863" w:type="dxa"/>
            <w:vAlign w:val="center"/>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t>4</w:t>
            </w:r>
          </w:p>
        </w:tc>
        <w:tc>
          <w:tcPr>
            <w:tcW w:w="150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宋体" w:hAnsi="宋体" w:eastAsia="宋体" w:cs="宋体"/>
                <w:kern w:val="0"/>
                <w:sz w:val="24"/>
                <w:szCs w:val="24"/>
              </w:rPr>
              <w:t>对节能服务机构提供虚假信息的处罚</w:t>
            </w:r>
          </w:p>
        </w:tc>
        <w:tc>
          <w:tcPr>
            <w:tcW w:w="738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14" w:hRule="exact"/>
        </w:trPr>
        <w:tc>
          <w:tcPr>
            <w:tcW w:w="863" w:type="dxa"/>
            <w:vAlign w:val="center"/>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t>5</w:t>
            </w:r>
          </w:p>
        </w:tc>
        <w:tc>
          <w:tcPr>
            <w:tcW w:w="150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宋体" w:hAnsi="宋体" w:eastAsia="宋体" w:cs="宋体"/>
                <w:kern w:val="0"/>
                <w:sz w:val="24"/>
                <w:szCs w:val="24"/>
              </w:rPr>
              <w:t>对工业企业无偿向单位职工提供能源或者对能源消费实行包费制的处罚</w:t>
            </w:r>
          </w:p>
        </w:tc>
        <w:tc>
          <w:tcPr>
            <w:tcW w:w="738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14" w:hRule="exact"/>
        </w:trPr>
        <w:tc>
          <w:tcPr>
            <w:tcW w:w="863" w:type="dxa"/>
            <w:vAlign w:val="center"/>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6</w:t>
            </w:r>
          </w:p>
        </w:tc>
        <w:tc>
          <w:tcPr>
            <w:tcW w:w="150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snapToGrid w:val="0"/>
              <w:spacing w:line="220" w:lineRule="atLeast"/>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宋体" w:hAnsi="宋体" w:eastAsia="宋体" w:cs="宋体"/>
                <w:kern w:val="0"/>
                <w:sz w:val="24"/>
                <w:szCs w:val="24"/>
              </w:rPr>
              <w:t>对工业重点用能单位未按照《中华人民共和国节约能源法》规定报送能源利用状况报告或者报告内容不实的处罚</w:t>
            </w:r>
          </w:p>
        </w:tc>
        <w:tc>
          <w:tcPr>
            <w:tcW w:w="7382" w:type="dxa"/>
            <w:vAlign w:val="center"/>
          </w:tcPr>
          <w:p>
            <w:pPr>
              <w:jc w:val="center"/>
              <w:rPr>
                <w:rFonts w:hint="default"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968" w:hRule="atLeast"/>
        </w:trPr>
        <w:tc>
          <w:tcPr>
            <w:tcW w:w="863" w:type="dxa"/>
          </w:tcPr>
          <w:p>
            <w:pPr>
              <w:jc w:val="cente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7</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snapToGrid w:val="0"/>
              <w:spacing w:line="220" w:lineRule="atLeast"/>
              <w:rPr>
                <w:vertAlign w:val="baseline"/>
              </w:rPr>
            </w:pPr>
            <w:r>
              <w:rPr>
                <w:rFonts w:hint="eastAsia" w:ascii="宋体" w:hAnsi="宋体" w:eastAsia="宋体" w:cs="宋体"/>
                <w:kern w:val="0"/>
                <w:sz w:val="24"/>
                <w:szCs w:val="24"/>
              </w:rPr>
              <w:t>对重点用能单位位无正当理由拒不落实检查部门的整改要求或者整改没有达到要求的处罚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817" w:hRule="atLeast"/>
        </w:trPr>
        <w:tc>
          <w:tcPr>
            <w:tcW w:w="863" w:type="dxa"/>
          </w:tcPr>
          <w:p>
            <w:pPr>
              <w:jc w:val="cente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8</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snapToGrid w:val="0"/>
              <w:spacing w:line="220" w:lineRule="atLeast"/>
              <w:rPr>
                <w:vertAlign w:val="baseline"/>
              </w:rPr>
            </w:pPr>
            <w:r>
              <w:rPr>
                <w:rFonts w:hint="eastAsia" w:ascii="宋体" w:hAnsi="宋体" w:eastAsia="宋体" w:cs="宋体"/>
                <w:kern w:val="0"/>
                <w:sz w:val="24"/>
                <w:szCs w:val="24"/>
              </w:rPr>
              <w:t>对工业重点用能单位未按照《中华人民共和国节约能源法》规定设立能源管理岗位，聘任能源管理负责人，并报管理节能工作的部门和有关部门备案的处罚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9</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vertAlign w:val="baseline"/>
              </w:rPr>
            </w:pPr>
            <w:r>
              <w:rPr>
                <w:rFonts w:hint="eastAsia" w:ascii="宋体" w:hAnsi="宋体" w:eastAsia="宋体" w:cs="宋体"/>
                <w:kern w:val="0"/>
                <w:sz w:val="24"/>
                <w:szCs w:val="24"/>
              </w:rPr>
              <w:t>对供电企业在发电、供电系统正常情况下，拒绝供电或中断供电的处罚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10</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vertAlign w:val="baseline"/>
              </w:rPr>
            </w:pPr>
            <w:r>
              <w:rPr>
                <w:rFonts w:hint="eastAsia" w:ascii="宋体" w:hAnsi="宋体" w:eastAsia="宋体" w:cs="宋体"/>
                <w:kern w:val="0"/>
                <w:sz w:val="24"/>
                <w:szCs w:val="24"/>
              </w:rPr>
              <w:t>对危害供电、用电安全或者扰乱供电、用电秩序的处罚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11</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snapToGrid w:val="0"/>
              <w:spacing w:line="220" w:lineRule="atLeast"/>
              <w:rPr>
                <w:vertAlign w:val="baseline"/>
              </w:rPr>
            </w:pPr>
            <w:r>
              <w:rPr>
                <w:rFonts w:hint="eastAsia" w:ascii="宋体" w:hAnsi="宋体" w:eastAsia="宋体" w:cs="宋体"/>
                <w:kern w:val="0"/>
                <w:sz w:val="24"/>
                <w:szCs w:val="24"/>
              </w:rPr>
              <w:t>对未经批准或者未采取安全措施在电力设施周围或者在依法划定的电力设施保护区内进行作业，危及电力设施安全的处罚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12</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vertAlign w:val="baseline"/>
              </w:rPr>
            </w:pPr>
            <w:r>
              <w:rPr>
                <w:rFonts w:hint="eastAsia" w:ascii="宋体" w:hAnsi="宋体" w:eastAsia="宋体" w:cs="宋体"/>
                <w:kern w:val="0"/>
                <w:sz w:val="24"/>
                <w:szCs w:val="24"/>
              </w:rPr>
              <w:t>对盗窃电能的处罚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13</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vertAlign w:val="baseline"/>
              </w:rPr>
            </w:pPr>
            <w:r>
              <w:rPr>
                <w:rFonts w:hint="eastAsia" w:ascii="宋体" w:hAnsi="宋体" w:eastAsia="宋体" w:cs="宋体"/>
                <w:color w:val="000000"/>
                <w:kern w:val="0"/>
                <w:sz w:val="24"/>
                <w:szCs w:val="24"/>
              </w:rPr>
              <w:t>对危害发电设施、变电设施和电力线路设施的处罚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14</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vertAlign w:val="baseline"/>
              </w:rPr>
            </w:pPr>
            <w:r>
              <w:rPr>
                <w:rFonts w:hint="eastAsia" w:ascii="宋体" w:hAnsi="宋体" w:eastAsia="宋体" w:cs="宋体"/>
                <w:kern w:val="0"/>
                <w:sz w:val="24"/>
                <w:szCs w:val="24"/>
              </w:rPr>
              <w:t>对非食盐定点批发企业经营食盐批发业务违法行为的处罚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15</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vertAlign w:val="baseline"/>
              </w:rPr>
            </w:pPr>
            <w:r>
              <w:rPr>
                <w:rFonts w:hint="eastAsia" w:ascii="宋体" w:hAnsi="宋体" w:eastAsia="宋体" w:cs="宋体"/>
                <w:kern w:val="0"/>
                <w:sz w:val="24"/>
                <w:szCs w:val="24"/>
              </w:rPr>
              <w:t>对食盐定点批发企业未按照规定保存采购销售记录违法行为的处罚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16</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vertAlign w:val="baseline"/>
              </w:rPr>
            </w:pPr>
            <w:r>
              <w:rPr>
                <w:rFonts w:hint="eastAsia" w:ascii="宋体" w:hAnsi="宋体" w:eastAsia="宋体" w:cs="宋体"/>
                <w:color w:val="000000"/>
                <w:kern w:val="0"/>
                <w:sz w:val="24"/>
                <w:szCs w:val="24"/>
              </w:rPr>
              <w:t>对食盐定点批发企业超出国家规定的范围销售食盐违法行为的处罚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17</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rPr>
                <w:vertAlign w:val="baseline"/>
              </w:rPr>
            </w:pPr>
            <w:r>
              <w:rPr>
                <w:rFonts w:hint="eastAsia" w:ascii="宋体" w:hAnsi="宋体" w:eastAsia="宋体" w:cs="宋体"/>
                <w:color w:val="000000"/>
                <w:kern w:val="0"/>
                <w:sz w:val="24"/>
                <w:szCs w:val="24"/>
              </w:rPr>
              <w:t>对将非食用盐产品作为食盐销售违法行为的处罚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18</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snapToGrid w:val="0"/>
              <w:spacing w:line="220" w:lineRule="atLeast"/>
              <w:rPr>
                <w:vertAlign w:val="baseline"/>
              </w:rPr>
            </w:pPr>
            <w:r>
              <w:rPr>
                <w:rFonts w:hint="eastAsia" w:ascii="宋体" w:hAnsi="宋体" w:eastAsia="宋体" w:cs="宋体"/>
                <w:kern w:val="0"/>
                <w:sz w:val="24"/>
                <w:szCs w:val="24"/>
              </w:rPr>
              <w:t>对食盐定点批发企业从除食盐定点生产企业、其他食盐定点批发企业以外的单位或者个人购进食盐违法行为的处罚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19</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snapToGrid w:val="0"/>
              <w:spacing w:line="220" w:lineRule="atLeast"/>
              <w:rPr>
                <w:vertAlign w:val="baseline"/>
              </w:rPr>
            </w:pPr>
            <w:r>
              <w:rPr>
                <w:rFonts w:hint="eastAsia" w:ascii="宋体" w:hAnsi="宋体" w:eastAsia="宋体" w:cs="宋体"/>
                <w:color w:val="000000"/>
                <w:kern w:val="0"/>
                <w:sz w:val="24"/>
                <w:szCs w:val="24"/>
              </w:rPr>
              <w:t>对食盐零售单位从食盐定点批发企业以外的单位或者个人购进食盐违法行为的处罚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20</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snapToGrid w:val="0"/>
              <w:spacing w:line="220" w:lineRule="atLeast"/>
              <w:rPr>
                <w:vertAlign w:val="baseline"/>
              </w:rPr>
            </w:pPr>
            <w:r>
              <w:rPr>
                <w:rFonts w:hint="eastAsia" w:ascii="宋体" w:hAnsi="宋体" w:eastAsia="宋体" w:cs="宋体"/>
                <w:color w:val="000000"/>
                <w:kern w:val="0"/>
                <w:sz w:val="24"/>
                <w:szCs w:val="24"/>
              </w:rPr>
              <w:t>对食盐定点生产企业、食盐定点批发企业违反规定聘用人员违法行为的处罚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1787" w:hRule="atLeast"/>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21</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snapToGrid w:val="0"/>
              <w:spacing w:line="220" w:lineRule="atLeast"/>
              <w:rPr>
                <w:vertAlign w:val="baseline"/>
              </w:rPr>
            </w:pPr>
            <w:r>
              <w:rPr>
                <w:rFonts w:hint="eastAsia" w:ascii="宋体" w:hAnsi="宋体" w:eastAsia="宋体" w:cs="宋体"/>
                <w:color w:val="000000"/>
                <w:kern w:val="0"/>
                <w:sz w:val="24"/>
                <w:szCs w:val="24"/>
              </w:rPr>
              <w:t>对擅自开办碘盐加工企业或者未经批准从事碘盐批发业务违法行为的处罚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22</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snapToGrid w:val="0"/>
              <w:spacing w:line="220" w:lineRule="atLeast"/>
              <w:rPr>
                <w:vertAlign w:val="baseline"/>
              </w:rPr>
            </w:pPr>
            <w:r>
              <w:rPr>
                <w:rFonts w:hint="eastAsia" w:ascii="宋体" w:hAnsi="宋体" w:eastAsia="宋体" w:cs="宋体"/>
                <w:kern w:val="0"/>
                <w:sz w:val="24"/>
                <w:szCs w:val="24"/>
              </w:rPr>
              <w:t>对食盐定点生产企业、食盐定点批发企业违反规定，被处以吊销食盐定点生产、食盐定点批发企业证书行政处罚的法定代表人、直接负责的主管人员和其他直接责任人员的处罚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23</w:t>
            </w:r>
          </w:p>
        </w:tc>
        <w:tc>
          <w:tcPr>
            <w:tcW w:w="1502" w:type="dxa"/>
          </w:tcPr>
          <w:p>
            <w:pP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行政处罚</w:t>
            </w:r>
          </w:p>
        </w:tc>
        <w:tc>
          <w:tcPr>
            <w:tcW w:w="3851" w:type="dxa"/>
            <w:vAlign w:val="center"/>
          </w:tcPr>
          <w:p>
            <w:pPr>
              <w:widowControl/>
              <w:snapToGrid w:val="0"/>
              <w:spacing w:line="220" w:lineRule="atLeast"/>
              <w:rPr>
                <w:vertAlign w:val="baseline"/>
              </w:rPr>
            </w:pPr>
            <w:r>
              <w:rPr>
                <w:rFonts w:hint="eastAsia" w:ascii="宋体" w:hAnsi="宋体" w:eastAsia="宋体" w:cs="宋体"/>
                <w:kern w:val="0"/>
                <w:sz w:val="24"/>
                <w:szCs w:val="24"/>
              </w:rPr>
              <w:t>对碘盐的加工企业、批发企业违反规定，加工、批发不合格碘盐的处罚</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24</w:t>
            </w:r>
          </w:p>
        </w:tc>
        <w:tc>
          <w:tcPr>
            <w:tcW w:w="1502" w:type="dxa"/>
          </w:tcPr>
          <w:p>
            <w:pP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行政许可</w:t>
            </w:r>
          </w:p>
        </w:tc>
        <w:tc>
          <w:tcPr>
            <w:tcW w:w="3851" w:type="dxa"/>
            <w:vAlign w:val="center"/>
          </w:tcPr>
          <w:p>
            <w:pPr>
              <w:widowControl/>
              <w:snapToGrid w:val="0"/>
              <w:spacing w:line="220" w:lineRule="atLeast"/>
              <w:rPr>
                <w:rFonts w:hint="eastAsia" w:ascii="宋体" w:hAnsi="宋体" w:eastAsia="宋体" w:cs="宋体"/>
                <w:kern w:val="0"/>
                <w:sz w:val="24"/>
                <w:szCs w:val="24"/>
              </w:rPr>
            </w:pPr>
            <w:r>
              <w:rPr>
                <w:rFonts w:hint="eastAsia" w:ascii="宋体" w:hAnsi="宋体" w:eastAsia="宋体" w:cs="宋体"/>
                <w:kern w:val="0"/>
                <w:sz w:val="24"/>
                <w:szCs w:val="24"/>
              </w:rPr>
              <w:t>电力设施保护区施工作业审批</w:t>
            </w:r>
          </w:p>
        </w:tc>
        <w:tc>
          <w:tcPr>
            <w:tcW w:w="7382" w:type="dxa"/>
          </w:tcPr>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审核内容：</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（一）行政机关主体及其行政执法人员是否适合；</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（二）认定事实是否清楚，证据是否确实、充分；</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（三）适用依据是否正确；</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（四）行政裁量是否适当；</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（五）程序是否合法；</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（六）行政执法文书是否规范；</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（七）法律法规规章以及规范性文件规定或者行政机关认为应当审核的其他内容。</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标准：</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（一）适用听证的；</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（二）通过招标、拍卖等方式决定的；</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（三）变更、撤回、撤销行政许可决定；</w:t>
            </w:r>
          </w:p>
          <w:p>
            <w:pPr>
              <w:widowControl/>
              <w:snapToGrid w:val="0"/>
              <w:spacing w:line="220" w:lineRule="atLeas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（四）法律法规规章和规范性文件规定以及行政机关认定的其他重大行政许可事项。</w:t>
            </w:r>
          </w:p>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25</w:t>
            </w:r>
          </w:p>
        </w:tc>
        <w:tc>
          <w:tcPr>
            <w:tcW w:w="1502" w:type="dxa"/>
          </w:tcPr>
          <w:p>
            <w:pP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行政许可</w:t>
            </w:r>
          </w:p>
        </w:tc>
        <w:tc>
          <w:tcPr>
            <w:tcW w:w="3851" w:type="dxa"/>
            <w:vAlign w:val="center"/>
          </w:tcPr>
          <w:p>
            <w:pPr>
              <w:widowControl/>
              <w:snapToGrid w:val="0"/>
              <w:spacing w:line="220" w:lineRule="atLeast"/>
              <w:rPr>
                <w:rFonts w:hint="eastAsia" w:ascii="宋体" w:hAnsi="宋体" w:eastAsia="宋体" w:cs="宋体"/>
                <w:kern w:val="0"/>
                <w:sz w:val="24"/>
                <w:szCs w:val="24"/>
              </w:rPr>
            </w:pPr>
            <w:r>
              <w:rPr>
                <w:rFonts w:hint="eastAsia" w:ascii="宋体" w:hAnsi="宋体" w:eastAsia="宋体" w:cs="宋体"/>
                <w:kern w:val="0"/>
                <w:sz w:val="24"/>
                <w:szCs w:val="24"/>
              </w:rPr>
              <w:t xml:space="preserve">节能审查 </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26</w:t>
            </w:r>
          </w:p>
        </w:tc>
        <w:tc>
          <w:tcPr>
            <w:tcW w:w="1502" w:type="dxa"/>
          </w:tcPr>
          <w:p>
            <w:pP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其他行政权力</w:t>
            </w:r>
          </w:p>
        </w:tc>
        <w:tc>
          <w:tcPr>
            <w:tcW w:w="3851" w:type="dxa"/>
            <w:vAlign w:val="center"/>
          </w:tcPr>
          <w:p>
            <w:pPr>
              <w:widowControl/>
              <w:snapToGrid w:val="0"/>
              <w:spacing w:line="220" w:lineRule="atLeast"/>
              <w:rPr>
                <w:rFonts w:hint="eastAsia" w:ascii="宋体" w:hAnsi="宋体" w:eastAsia="宋体" w:cs="宋体"/>
                <w:kern w:val="0"/>
                <w:sz w:val="24"/>
                <w:szCs w:val="24"/>
              </w:rPr>
            </w:pPr>
            <w:r>
              <w:rPr>
                <w:rFonts w:hint="eastAsia" w:ascii="宋体" w:hAnsi="宋体" w:eastAsia="宋体" w:cs="宋体"/>
                <w:kern w:val="0"/>
                <w:sz w:val="24"/>
                <w:szCs w:val="24"/>
              </w:rPr>
              <w:t>企业投资项目备案</w:t>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63" w:type="dxa"/>
          </w:tcPr>
          <w:p>
            <w:pPr>
              <w:jc w:val="center"/>
              <w:rPr>
                <w:rFonts w:hint="default" w:ascii="Times New Roman" w:hAnsi="Times New Roman" w:eastAsia="黑体"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val="en-US" w:eastAsia="zh-CN"/>
                <w14:textFill>
                  <w14:solidFill>
                    <w14:schemeClr w14:val="tx1"/>
                  </w14:solidFill>
                </w14:textFill>
              </w:rPr>
              <w:t>27</w:t>
            </w:r>
          </w:p>
        </w:tc>
        <w:tc>
          <w:tcPr>
            <w:tcW w:w="1502" w:type="dxa"/>
          </w:tcPr>
          <w:p>
            <w:pP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其他行政权力</w:t>
            </w:r>
          </w:p>
        </w:tc>
        <w:tc>
          <w:tcPr>
            <w:tcW w:w="3851" w:type="dxa"/>
            <w:vAlign w:val="center"/>
          </w:tcPr>
          <w:p>
            <w:pPr>
              <w:widowControl/>
              <w:snapToGrid w:val="0"/>
              <w:spacing w:line="220" w:lineRule="atLeast"/>
              <w:rPr>
                <w:rFonts w:hint="eastAsia" w:ascii="宋体" w:hAnsi="宋体" w:eastAsia="宋体" w:cs="宋体"/>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HYPERLINK "http://www.baotou.gov.cn/01xxgk/xxgk_wzcontent.jsp?urltype=news.NewsContentUrl&amp;wbtreeid=4593&amp;wbnewsid=179712" \t "_blank" </w:instrText>
            </w:r>
            <w:r>
              <w:rPr>
                <w:rFonts w:hint="eastAsia" w:ascii="宋体" w:hAnsi="宋体" w:eastAsia="宋体" w:cs="宋体"/>
                <w:kern w:val="0"/>
                <w:sz w:val="24"/>
                <w:szCs w:val="24"/>
              </w:rPr>
              <w:fldChar w:fldCharType="separate"/>
            </w:r>
            <w:r>
              <w:rPr>
                <w:rFonts w:hint="eastAsia" w:ascii="宋体" w:hAnsi="宋体" w:eastAsia="宋体" w:cs="宋体"/>
                <w:kern w:val="0"/>
                <w:sz w:val="24"/>
                <w:szCs w:val="24"/>
              </w:rPr>
              <w:t>重点用能单位能源管理人员备案</w:t>
            </w:r>
            <w:r>
              <w:rPr>
                <w:rFonts w:hint="eastAsia" w:ascii="宋体" w:hAnsi="宋体" w:eastAsia="宋体" w:cs="宋体"/>
                <w:kern w:val="0"/>
                <w:sz w:val="24"/>
                <w:szCs w:val="24"/>
              </w:rPr>
              <w:fldChar w:fldCharType="end"/>
            </w:r>
          </w:p>
        </w:tc>
        <w:tc>
          <w:tcPr>
            <w:tcW w:w="7382" w:type="dxa"/>
          </w:tcPr>
          <w:p>
            <w:pPr>
              <w:jc w:val="center"/>
              <w:rPr>
                <w:vertAlign w:val="baseline"/>
              </w:rPr>
            </w:pPr>
            <w:r>
              <w:rPr>
                <w:rFonts w:hint="eastAsia" w:ascii="Times New Roman" w:hAnsi="Times New Roman" w:eastAsia="黑体" w:cs="Times New Roman"/>
                <w:color w:val="000000" w:themeColor="text1"/>
                <w:sz w:val="28"/>
                <w:szCs w:val="28"/>
                <w:vertAlign w:val="baseline"/>
                <w:lang w:eastAsia="zh-CN"/>
                <w14:textFill>
                  <w14:solidFill>
                    <w14:schemeClr w14:val="tx1"/>
                  </w14:solidFill>
                </w14:textFill>
              </w:rPr>
              <w:t>同上</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15B9A"/>
    <w:rsid w:val="04D858ED"/>
    <w:rsid w:val="297D0453"/>
    <w:rsid w:val="333F0F3C"/>
    <w:rsid w:val="37315B9A"/>
    <w:rsid w:val="757D4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2020-09-21T01:07:00Z</dcterms:created>
  <dc:creator>简单状态 </dc:creator>
  <cp:lastModifiedBy>自在</cp:lastModifiedBy>
  <dcterms:modified xsi:type="dcterms:W3CDTF">2020-09-21T06:45:27Z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